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trPr>
          <w:trHeight w:val="7515"/>
        </w:trPr>
        <w:tc>
          <w:tcPr>
            <w:tcW w:w="11057" w:type="dxa"/>
            <w:shd w:val="clear" w:color="auto" w:fill="auto"/>
          </w:tcPr>
          <w:p w:rsidR="00E617AF" w:rsidRDefault="00E617AF" w:rsidP="00E617AF"/>
          <w:p w:rsidR="00E617AF" w:rsidRDefault="00ED63AB" w:rsidP="00E617AF">
            <w:r>
              <w:rPr>
                <w:noProof/>
                <w:lang w:val="en-US" w:eastAsia="en-US"/>
              </w:rPr>
              <w:drawing>
                <wp:anchor distT="0" distB="0" distL="114300" distR="114300" simplePos="0" relativeHeight="251660288" behindDoc="0" locked="0" layoutInCell="1" allowOverlap="1">
                  <wp:simplePos x="0" y="0"/>
                  <wp:positionH relativeFrom="column">
                    <wp:posOffset>-464185</wp:posOffset>
                  </wp:positionH>
                  <wp:positionV relativeFrom="paragraph">
                    <wp:posOffset>119380</wp:posOffset>
                  </wp:positionV>
                  <wp:extent cx="4093845" cy="1176020"/>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3845" cy="1176020"/>
                          </a:xfrm>
                          <a:prstGeom prst="rect">
                            <a:avLst/>
                          </a:prstGeom>
                        </pic:spPr>
                      </pic:pic>
                    </a:graphicData>
                  </a:graphic>
                </wp:anchor>
              </w:drawing>
            </w:r>
          </w:p>
          <w:p w:rsidR="00E617AF" w:rsidRDefault="00E617AF" w:rsidP="00E617AF"/>
          <w:p w:rsidR="00E617AF" w:rsidRDefault="00E617AF" w:rsidP="00E617AF"/>
          <w:p w:rsidR="00E617AF" w:rsidRDefault="00E617AF" w:rsidP="00E617AF"/>
          <w:p w:rsidR="00E617AF" w:rsidRDefault="00E617AF" w:rsidP="00E617AF"/>
          <w:p w:rsidR="00E617AF" w:rsidRDefault="00E617AF" w:rsidP="00E617AF"/>
          <w:p w:rsidR="00E617AF" w:rsidRDefault="00E617AF" w:rsidP="00E617AF"/>
          <w:p w:rsidR="00E617AF" w:rsidRDefault="00E617AF" w:rsidP="00E617AF"/>
          <w:p w:rsidR="000F2875" w:rsidRDefault="000F2875" w:rsidP="00E617AF"/>
          <w:p w:rsidR="00E03406" w:rsidRDefault="00E03406" w:rsidP="00E617AF"/>
          <w:p w:rsidR="00E03406" w:rsidRDefault="00E03406" w:rsidP="00E617AF"/>
          <w:p w:rsidR="00E617AF" w:rsidRPr="00ED63AB" w:rsidRDefault="00E03406" w:rsidP="00E617AF">
            <w:pPr>
              <w:pStyle w:val="Title"/>
              <w:rPr>
                <w:color w:val="1F497D" w:themeColor="text2"/>
              </w:rPr>
            </w:pPr>
            <w:proofErr w:type="gramStart"/>
            <w:r>
              <w:rPr>
                <w:color w:val="1F497D" w:themeColor="text2"/>
              </w:rPr>
              <w:t>m</w:t>
            </w:r>
            <w:r w:rsidR="00AA3819">
              <w:rPr>
                <w:color w:val="1F497D" w:themeColor="text2"/>
              </w:rPr>
              <w:t>odule</w:t>
            </w:r>
            <w:proofErr w:type="gramEnd"/>
            <w:r w:rsidR="00E617AF" w:rsidRPr="00ED63AB">
              <w:rPr>
                <w:color w:val="1F497D" w:themeColor="text2"/>
              </w:rPr>
              <w:t xml:space="preserve"> </w:t>
            </w:r>
          </w:p>
          <w:p w:rsidR="00E617AF" w:rsidRPr="00ED63AB" w:rsidRDefault="00ED63AB" w:rsidP="00E617AF">
            <w:pPr>
              <w:pStyle w:val="Title"/>
              <w:rPr>
                <w:color w:val="1F497D" w:themeColor="text2"/>
              </w:rPr>
            </w:pPr>
            <w:proofErr w:type="gramStart"/>
            <w:r>
              <w:rPr>
                <w:color w:val="1F497D" w:themeColor="text2"/>
              </w:rPr>
              <w:t>guide</w:t>
            </w:r>
            <w:proofErr w:type="gramEnd"/>
          </w:p>
          <w:p w:rsidR="00C30E84" w:rsidRDefault="00C30E84" w:rsidP="00C30E84">
            <w:pPr>
              <w:jc w:val="right"/>
            </w:pPr>
            <w:r>
              <w:tab/>
            </w:r>
          </w:p>
          <w:p w:rsidR="000F2875" w:rsidRPr="000F2875" w:rsidRDefault="00824F0D" w:rsidP="00C30E84">
            <w:pPr>
              <w:pStyle w:val="Title"/>
              <w:tabs>
                <w:tab w:val="left" w:pos="4185"/>
                <w:tab w:val="right" w:pos="10489"/>
              </w:tabs>
              <w:ind w:left="-284"/>
              <w:rPr>
                <w:sz w:val="72"/>
                <w:szCs w:val="72"/>
              </w:rPr>
            </w:pPr>
            <w:r>
              <w:rPr>
                <w:color w:val="1F497D" w:themeColor="text2"/>
                <w:sz w:val="72"/>
                <w:szCs w:val="72"/>
              </w:rPr>
              <w:t>2013</w:t>
            </w:r>
            <w:r w:rsidR="000F2875" w:rsidRPr="00824F0D">
              <w:rPr>
                <w:color w:val="1F497D" w:themeColor="text2"/>
                <w:sz w:val="72"/>
                <w:szCs w:val="72"/>
              </w:rPr>
              <w:t>/1</w:t>
            </w:r>
            <w:r>
              <w:rPr>
                <w:color w:val="1F497D" w:themeColor="text2"/>
                <w:sz w:val="72"/>
                <w:szCs w:val="72"/>
              </w:rPr>
              <w:t>4</w:t>
            </w:r>
          </w:p>
        </w:tc>
      </w:tr>
    </w:tbl>
    <w:p w:rsidR="00C62532" w:rsidRDefault="00C62532" w:rsidP="000F2875">
      <w:pPr>
        <w:ind w:left="-284"/>
      </w:pPr>
    </w:p>
    <w:p w:rsidR="00E617AF" w:rsidRDefault="00E617AF" w:rsidP="004E1E02">
      <w:pPr>
        <w:sectPr w:rsidR="00E617AF">
          <w:footerReference w:type="default" r:id="rId10"/>
          <w:pgSz w:w="11906" w:h="16838"/>
          <w:pgMar w:top="426" w:right="707" w:bottom="567" w:left="709" w:header="708" w:footer="708" w:gutter="0"/>
          <w:cols w:space="708"/>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trPr>
          <w:trHeight w:val="1660"/>
        </w:trPr>
        <w:tc>
          <w:tcPr>
            <w:tcW w:w="11057" w:type="dxa"/>
            <w:shd w:val="clear" w:color="auto" w:fill="auto"/>
            <w:vAlign w:val="center"/>
          </w:tcPr>
          <w:p w:rsidR="00E617AF" w:rsidRPr="00852E86" w:rsidRDefault="00852E86" w:rsidP="00413BF1">
            <w:pPr>
              <w:pStyle w:val="ProgrammeTitle"/>
              <w:ind w:left="-108"/>
              <w:rPr>
                <w:color w:val="00B0F0"/>
              </w:rPr>
            </w:pPr>
            <w:bookmarkStart w:id="0" w:name="_GoBack"/>
            <w:bookmarkEnd w:id="0"/>
            <w:r>
              <w:rPr>
                <w:color w:val="00B0F0"/>
              </w:rPr>
              <w:lastRenderedPageBreak/>
              <w:t>TAXATION 6003BUSAF</w:t>
            </w:r>
          </w:p>
        </w:tc>
      </w:tr>
    </w:tbl>
    <w:p w:rsidR="00E617AF" w:rsidRDefault="00E617AF" w:rsidP="004E1E02">
      <w:pPr>
        <w:sectPr w:rsidR="00E617AF">
          <w:type w:val="continuous"/>
          <w:pgSz w:w="11906" w:h="16838"/>
          <w:pgMar w:top="851" w:right="707" w:bottom="993" w:left="709" w:header="708" w:footer="708" w:gutter="0"/>
          <w:cols w:space="708"/>
          <w:formProt w:val="0"/>
          <w:docGrid w:linePitch="360"/>
        </w:sectPr>
      </w:pPr>
    </w:p>
    <w:p w:rsidR="00E617AF" w:rsidRDefault="00E617AF" w:rsidP="000F2875">
      <w:pPr>
        <w:ind w:left="-284"/>
      </w:pPr>
    </w:p>
    <w:p w:rsidR="00E617AF" w:rsidRDefault="00E617AF" w:rsidP="004E1E02">
      <w:pPr>
        <w:sectPr w:rsidR="00E617AF">
          <w:type w:val="continuous"/>
          <w:pgSz w:w="11906" w:h="16838"/>
          <w:pgMar w:top="851" w:right="707" w:bottom="993" w:left="709" w:header="708" w:footer="708" w:gutter="0"/>
          <w:cols w:space="708"/>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E617AF">
        <w:trPr>
          <w:trHeight w:val="684"/>
        </w:trPr>
        <w:tc>
          <w:tcPr>
            <w:tcW w:w="11057" w:type="dxa"/>
            <w:tcBorders>
              <w:top w:val="nil"/>
              <w:left w:val="nil"/>
              <w:bottom w:val="nil"/>
              <w:right w:val="nil"/>
            </w:tcBorders>
            <w:shd w:val="clear" w:color="auto" w:fill="00B0F0"/>
            <w:vAlign w:val="center"/>
          </w:tcPr>
          <w:p w:rsidR="00E617AF" w:rsidRPr="00E975D6" w:rsidRDefault="000F2875" w:rsidP="00E975D6">
            <w:pPr>
              <w:pStyle w:val="LJMU"/>
              <w:jc w:val="right"/>
              <w:rPr>
                <w:sz w:val="44"/>
                <w:szCs w:val="44"/>
              </w:rPr>
            </w:pPr>
            <w:r w:rsidRPr="00E975D6">
              <w:rPr>
                <w:sz w:val="44"/>
                <w:szCs w:val="44"/>
              </w:rPr>
              <w:lastRenderedPageBreak/>
              <w:t>Liverpool John Moores University</w:t>
            </w:r>
          </w:p>
        </w:tc>
      </w:tr>
    </w:tbl>
    <w:p w:rsidR="005E1493" w:rsidRDefault="005E1493" w:rsidP="005E1493">
      <w:pPr>
        <w:pStyle w:val="LJMU"/>
        <w:sectPr w:rsidR="005E1493">
          <w:type w:val="continuous"/>
          <w:pgSz w:w="11906" w:h="16838"/>
          <w:pgMar w:top="851" w:right="707" w:bottom="568" w:left="709" w:header="708" w:footer="708" w:gutter="0"/>
          <w:cols w:space="708"/>
          <w:titlePg/>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5E1493">
        <w:trPr>
          <w:trHeight w:val="12613"/>
        </w:trPr>
        <w:tc>
          <w:tcPr>
            <w:tcW w:w="11057" w:type="dxa"/>
            <w:tcBorders>
              <w:top w:val="nil"/>
              <w:left w:val="nil"/>
              <w:bottom w:val="nil"/>
              <w:right w:val="nil"/>
            </w:tcBorders>
            <w:shd w:val="clear" w:color="auto" w:fill="DBE5F1" w:themeFill="accent1" w:themeFillTint="33"/>
          </w:tcPr>
          <w:p w:rsidR="00517C3F" w:rsidRDefault="005E1493" w:rsidP="00517C3F">
            <w:pPr>
              <w:pStyle w:val="NonListedTitle"/>
              <w:rPr>
                <w:sz w:val="17"/>
                <w:szCs w:val="17"/>
              </w:rPr>
            </w:pPr>
            <w:r w:rsidRPr="00EF30B2">
              <w:rPr>
                <w:sz w:val="32"/>
                <w:szCs w:val="32"/>
              </w:rPr>
              <w:lastRenderedPageBreak/>
              <w:t>Contents</w:t>
            </w:r>
            <w:r w:rsidR="00AA4871">
              <w:rPr>
                <w:sz w:val="17"/>
                <w:szCs w:val="17"/>
              </w:rPr>
              <w:fldChar w:fldCharType="begin"/>
            </w:r>
            <w:r w:rsidR="00EF30B2">
              <w:rPr>
                <w:sz w:val="17"/>
                <w:szCs w:val="17"/>
              </w:rPr>
              <w:instrText xml:space="preserve"> TOC \o "1-3" \h \z \u </w:instrText>
            </w:r>
            <w:r w:rsidR="00AA4871">
              <w:rPr>
                <w:sz w:val="17"/>
                <w:szCs w:val="17"/>
              </w:rPr>
              <w:fldChar w:fldCharType="separate"/>
            </w:r>
          </w:p>
          <w:p w:rsidR="00517C3F" w:rsidRDefault="00517C3F" w:rsidP="00517C3F">
            <w:pPr>
              <w:pStyle w:val="NonListedTitle"/>
              <w:rPr>
                <w:sz w:val="17"/>
                <w:szCs w:val="17"/>
              </w:rPr>
            </w:pPr>
          </w:p>
          <w:p w:rsidR="00517C3F" w:rsidRDefault="00517C3F" w:rsidP="00517C3F">
            <w:pPr>
              <w:rPr>
                <w:noProof/>
                <w:sz w:val="24"/>
                <w:szCs w:val="24"/>
              </w:rPr>
            </w:pPr>
            <w:r>
              <w:rPr>
                <w:noProof/>
                <w:sz w:val="24"/>
                <w:szCs w:val="24"/>
              </w:rPr>
              <w:t>Teaching staff........................................................................................................3</w:t>
            </w:r>
          </w:p>
          <w:p w:rsidR="00517C3F" w:rsidRDefault="00517C3F" w:rsidP="00517C3F">
            <w:pPr>
              <w:rPr>
                <w:noProof/>
                <w:sz w:val="24"/>
                <w:szCs w:val="24"/>
              </w:rPr>
            </w:pPr>
            <w:r>
              <w:rPr>
                <w:noProof/>
                <w:sz w:val="24"/>
                <w:szCs w:val="24"/>
              </w:rPr>
              <w:t>Syllabus...................................................................................................................4</w:t>
            </w:r>
          </w:p>
          <w:p w:rsidR="00517C3F" w:rsidRDefault="00517C3F" w:rsidP="00517C3F">
            <w:pPr>
              <w:rPr>
                <w:noProof/>
                <w:sz w:val="24"/>
                <w:szCs w:val="24"/>
              </w:rPr>
            </w:pPr>
            <w:r>
              <w:rPr>
                <w:noProof/>
                <w:sz w:val="24"/>
                <w:szCs w:val="24"/>
              </w:rPr>
              <w:t>Timetable................................................................................................................6</w:t>
            </w:r>
          </w:p>
          <w:p w:rsidR="00517C3F" w:rsidRDefault="00517C3F" w:rsidP="00517C3F">
            <w:pPr>
              <w:rPr>
                <w:noProof/>
                <w:sz w:val="24"/>
                <w:szCs w:val="24"/>
              </w:rPr>
            </w:pPr>
            <w:r>
              <w:rPr>
                <w:noProof/>
                <w:sz w:val="24"/>
                <w:szCs w:val="24"/>
              </w:rPr>
              <w:t>Assessment.............................................................................................................7</w:t>
            </w:r>
          </w:p>
          <w:p w:rsidR="00517C3F" w:rsidRPr="00517C3F" w:rsidRDefault="00D6667A" w:rsidP="00517C3F">
            <w:pPr>
              <w:rPr>
                <w:noProof/>
                <w:sz w:val="24"/>
                <w:szCs w:val="24"/>
              </w:rPr>
            </w:pPr>
            <w:r>
              <w:rPr>
                <w:noProof/>
                <w:sz w:val="24"/>
                <w:szCs w:val="24"/>
              </w:rPr>
              <w:t>References / book list</w:t>
            </w:r>
            <w:r w:rsidR="00517C3F">
              <w:rPr>
                <w:noProof/>
                <w:sz w:val="24"/>
                <w:szCs w:val="24"/>
              </w:rPr>
              <w:t>............................................................................................9</w:t>
            </w:r>
          </w:p>
          <w:p w:rsidR="003F10CF" w:rsidRDefault="003F10CF">
            <w:pPr>
              <w:pStyle w:val="TOC1"/>
              <w:tabs>
                <w:tab w:val="right" w:leader="dot" w:pos="10480"/>
              </w:tabs>
              <w:rPr>
                <w:rFonts w:asciiTheme="minorHAnsi" w:hAnsiTheme="minorHAnsi"/>
                <w:noProof/>
                <w:color w:val="auto"/>
                <w:sz w:val="22"/>
              </w:rPr>
            </w:pPr>
          </w:p>
          <w:p w:rsidR="00EF30B2" w:rsidRPr="00EF30B2" w:rsidRDefault="00AA4871" w:rsidP="00EF30B2">
            <w:r>
              <w:fldChar w:fldCharType="end"/>
            </w:r>
          </w:p>
        </w:tc>
      </w:tr>
    </w:tbl>
    <w:p w:rsidR="00EB5903" w:rsidRDefault="00EB5903" w:rsidP="004E27C7">
      <w:pPr>
        <w:sectPr w:rsidR="00EB5903">
          <w:footerReference w:type="default" r:id="rId11"/>
          <w:pgSz w:w="11906" w:h="16838"/>
          <w:pgMar w:top="851" w:right="707" w:bottom="993" w:left="709" w:header="708" w:footer="708" w:gutter="0"/>
          <w:cols w:space="708"/>
          <w:formProt w:val="0"/>
          <w:docGrid w:linePitch="360"/>
        </w:sectPr>
      </w:pPr>
    </w:p>
    <w:p w:rsidR="004E27C7" w:rsidRDefault="004E27C7" w:rsidP="004E27C7"/>
    <w:p w:rsidR="00EB5903" w:rsidRDefault="00EB5903" w:rsidP="004E27C7">
      <w:pPr>
        <w:sectPr w:rsidR="00EB5903">
          <w:type w:val="continuous"/>
          <w:pgSz w:w="11906" w:h="16838"/>
          <w:pgMar w:top="851" w:right="707" w:bottom="993" w:left="709" w:header="708" w:footer="708" w:gutter="0"/>
          <w:cols w:space="708"/>
          <w:docGrid w:linePitch="360"/>
        </w:sectPr>
      </w:pPr>
    </w:p>
    <w:p w:rsidR="00EB5903" w:rsidRDefault="00EB5903" w:rsidP="004E27C7"/>
    <w:p w:rsidR="008D4E6E" w:rsidRDefault="007E3F7F" w:rsidP="008D4E6E">
      <w:pPr>
        <w:pStyle w:val="Heading1"/>
      </w:pPr>
      <w:bookmarkStart w:id="1" w:name="_Toc346274257"/>
      <w:r>
        <w:lastRenderedPageBreak/>
        <w:t>Teaching Staff</w:t>
      </w:r>
      <w:bookmarkEnd w:id="1"/>
    </w:p>
    <w:p w:rsidR="00CD74B5" w:rsidRDefault="00CD74B5" w:rsidP="00CD74B5"/>
    <w:p w:rsidR="00CD74B5" w:rsidRDefault="00CD74B5" w:rsidP="00CD74B5">
      <w:pPr>
        <w:sectPr w:rsidR="00CD74B5">
          <w:type w:val="continuous"/>
          <w:pgSz w:w="11906" w:h="16838"/>
          <w:pgMar w:top="851" w:right="707" w:bottom="993" w:left="709" w:header="708" w:footer="708" w:gutter="0"/>
          <w:cols w:space="708"/>
          <w:docGrid w:linePitch="360"/>
        </w:sectPr>
      </w:pPr>
    </w:p>
    <w:p w:rsidR="008D4E6E" w:rsidRDefault="00852E86" w:rsidP="008D4E6E">
      <w:pPr>
        <w:rPr>
          <w:sz w:val="24"/>
          <w:szCs w:val="24"/>
        </w:rPr>
      </w:pPr>
      <w:r>
        <w:rPr>
          <w:sz w:val="24"/>
          <w:szCs w:val="24"/>
        </w:rPr>
        <w:lastRenderedPageBreak/>
        <w:t xml:space="preserve">Catherine </w:t>
      </w:r>
      <w:proofErr w:type="spellStart"/>
      <w:r>
        <w:rPr>
          <w:sz w:val="24"/>
          <w:szCs w:val="24"/>
        </w:rPr>
        <w:t>Fairhurst</w:t>
      </w:r>
      <w:proofErr w:type="spellEnd"/>
      <w:r>
        <w:rPr>
          <w:sz w:val="24"/>
          <w:szCs w:val="24"/>
        </w:rPr>
        <w:t xml:space="preserve"> BSc ACA CTA</w:t>
      </w:r>
    </w:p>
    <w:p w:rsidR="00852E86" w:rsidRPr="00852E86" w:rsidRDefault="00852E86" w:rsidP="008D4E6E">
      <w:pPr>
        <w:rPr>
          <w:sz w:val="24"/>
          <w:szCs w:val="24"/>
        </w:rPr>
      </w:pPr>
      <w:r>
        <w:rPr>
          <w:sz w:val="24"/>
          <w:szCs w:val="24"/>
        </w:rPr>
        <w:t>Email contact details to follow</w:t>
      </w:r>
    </w:p>
    <w:p w:rsidR="007E3F7F" w:rsidRDefault="007E3F7F" w:rsidP="008D4E6E">
      <w:pPr>
        <w:rPr>
          <w:i/>
        </w:rPr>
      </w:pPr>
    </w:p>
    <w:p w:rsidR="007E3F7F" w:rsidRDefault="007E3F7F" w:rsidP="008D4E6E">
      <w:pPr>
        <w:rPr>
          <w:i/>
        </w:rPr>
      </w:pPr>
    </w:p>
    <w:p w:rsidR="007E3F7F" w:rsidRDefault="007E3F7F" w:rsidP="008D4E6E">
      <w:pPr>
        <w:rPr>
          <w:i/>
        </w:rPr>
        <w:sectPr w:rsidR="007E3F7F">
          <w:type w:val="continuous"/>
          <w:pgSz w:w="11906" w:h="16838"/>
          <w:pgMar w:top="851" w:right="707" w:bottom="993" w:left="709" w:header="708" w:footer="708" w:gutter="0"/>
          <w:cols w:space="708"/>
          <w:formProt w:val="0"/>
          <w:docGrid w:linePitch="360"/>
        </w:sectPr>
      </w:pPr>
    </w:p>
    <w:p w:rsidR="007E3F7F" w:rsidRDefault="007E3F7F" w:rsidP="003F10CF">
      <w:pPr>
        <w:pStyle w:val="Heading1"/>
      </w:pPr>
      <w:bookmarkStart w:id="2" w:name="_Toc346274258"/>
      <w:r>
        <w:lastRenderedPageBreak/>
        <w:t>Syllabus</w:t>
      </w:r>
      <w:bookmarkEnd w:id="2"/>
    </w:p>
    <w:p w:rsidR="007E3F7F" w:rsidRDefault="007E3F7F" w:rsidP="007E3F7F"/>
    <w:p w:rsidR="007E3F7F" w:rsidRDefault="007E3F7F" w:rsidP="007E3F7F">
      <w:pPr>
        <w:sectPr w:rsidR="007E3F7F">
          <w:pgSz w:w="11906" w:h="16838"/>
          <w:pgMar w:top="851" w:right="707" w:bottom="993" w:left="709" w:header="708" w:footer="708" w:gutter="0"/>
          <w:cols w:space="708"/>
          <w:docGrid w:linePitch="360"/>
        </w:sectPr>
      </w:pPr>
    </w:p>
    <w:tbl>
      <w:tblPr>
        <w:tblStyle w:val="TableGrid"/>
        <w:tblW w:w="0" w:type="auto"/>
        <w:tblLook w:val="04A0" w:firstRow="1" w:lastRow="0" w:firstColumn="1" w:lastColumn="0" w:noHBand="0" w:noVBand="1"/>
      </w:tblPr>
      <w:tblGrid>
        <w:gridCol w:w="534"/>
        <w:gridCol w:w="3523"/>
        <w:gridCol w:w="3710"/>
        <w:gridCol w:w="2939"/>
      </w:tblGrid>
      <w:tr w:rsidR="00852E86" w:rsidRPr="00852E86">
        <w:tc>
          <w:tcPr>
            <w:tcW w:w="534" w:type="dxa"/>
          </w:tcPr>
          <w:p w:rsidR="00852E86" w:rsidRPr="00852E86" w:rsidRDefault="004A19B2" w:rsidP="007E3F7F">
            <w:pPr>
              <w:rPr>
                <w:b/>
                <w:sz w:val="24"/>
                <w:szCs w:val="24"/>
                <w:u w:val="single"/>
              </w:rPr>
            </w:pPr>
            <w:r>
              <w:rPr>
                <w:b/>
                <w:sz w:val="24"/>
                <w:szCs w:val="24"/>
                <w:u w:val="single"/>
              </w:rPr>
              <w:lastRenderedPageBreak/>
              <w:t xml:space="preserve"> </w:t>
            </w:r>
          </w:p>
        </w:tc>
        <w:tc>
          <w:tcPr>
            <w:tcW w:w="3523" w:type="dxa"/>
          </w:tcPr>
          <w:p w:rsidR="00852E86" w:rsidRDefault="00852E86" w:rsidP="007E3F7F">
            <w:pPr>
              <w:rPr>
                <w:b/>
                <w:sz w:val="24"/>
                <w:szCs w:val="24"/>
                <w:u w:val="single"/>
              </w:rPr>
            </w:pPr>
            <w:r w:rsidRPr="00852E86">
              <w:rPr>
                <w:b/>
                <w:sz w:val="24"/>
                <w:szCs w:val="24"/>
                <w:u w:val="single"/>
              </w:rPr>
              <w:t>DATE</w:t>
            </w:r>
          </w:p>
          <w:p w:rsidR="009057AA" w:rsidRPr="00852E86" w:rsidRDefault="009057AA" w:rsidP="007E3F7F">
            <w:pPr>
              <w:rPr>
                <w:b/>
                <w:sz w:val="24"/>
                <w:szCs w:val="24"/>
                <w:u w:val="single"/>
              </w:rPr>
            </w:pPr>
            <w:r>
              <w:rPr>
                <w:b/>
                <w:sz w:val="24"/>
                <w:szCs w:val="24"/>
                <w:u w:val="single"/>
              </w:rPr>
              <w:t>SEMESTER ONE</w:t>
            </w:r>
          </w:p>
        </w:tc>
        <w:tc>
          <w:tcPr>
            <w:tcW w:w="3710" w:type="dxa"/>
          </w:tcPr>
          <w:p w:rsidR="00852E86" w:rsidRPr="00852E86" w:rsidRDefault="00852E86" w:rsidP="007E3F7F">
            <w:pPr>
              <w:rPr>
                <w:b/>
                <w:sz w:val="24"/>
                <w:szCs w:val="24"/>
                <w:u w:val="single"/>
              </w:rPr>
            </w:pPr>
            <w:r>
              <w:rPr>
                <w:b/>
                <w:sz w:val="24"/>
                <w:szCs w:val="24"/>
                <w:u w:val="single"/>
              </w:rPr>
              <w:t>TOPIC</w:t>
            </w:r>
          </w:p>
        </w:tc>
        <w:tc>
          <w:tcPr>
            <w:tcW w:w="2939" w:type="dxa"/>
          </w:tcPr>
          <w:p w:rsidR="00852E86" w:rsidRPr="00852E86" w:rsidRDefault="00852E86" w:rsidP="007E3F7F">
            <w:pPr>
              <w:rPr>
                <w:b/>
                <w:sz w:val="24"/>
                <w:szCs w:val="24"/>
                <w:u w:val="single"/>
              </w:rPr>
            </w:pPr>
            <w:r>
              <w:rPr>
                <w:b/>
                <w:sz w:val="24"/>
                <w:szCs w:val="24"/>
                <w:u w:val="single"/>
              </w:rPr>
              <w:t>READING (Chapters of Melville textbook, unless note</w:t>
            </w:r>
            <w:r w:rsidR="009057AA">
              <w:rPr>
                <w:b/>
                <w:sz w:val="24"/>
                <w:szCs w:val="24"/>
                <w:u w:val="single"/>
              </w:rPr>
              <w:t xml:space="preserve">d </w:t>
            </w:r>
            <w:r>
              <w:rPr>
                <w:b/>
                <w:sz w:val="24"/>
                <w:szCs w:val="24"/>
                <w:u w:val="single"/>
              </w:rPr>
              <w:t>otherwise)</w:t>
            </w:r>
          </w:p>
        </w:tc>
      </w:tr>
      <w:tr w:rsidR="00852E86" w:rsidRPr="00852E86">
        <w:tc>
          <w:tcPr>
            <w:tcW w:w="534" w:type="dxa"/>
          </w:tcPr>
          <w:p w:rsidR="00852E86" w:rsidRDefault="00852E86" w:rsidP="007E3F7F">
            <w:pPr>
              <w:rPr>
                <w:sz w:val="24"/>
                <w:szCs w:val="24"/>
              </w:rPr>
            </w:pPr>
            <w:r>
              <w:rPr>
                <w:sz w:val="24"/>
                <w:szCs w:val="24"/>
              </w:rPr>
              <w:t>1</w:t>
            </w:r>
          </w:p>
        </w:tc>
        <w:tc>
          <w:tcPr>
            <w:tcW w:w="3523" w:type="dxa"/>
          </w:tcPr>
          <w:p w:rsidR="00852E86" w:rsidRPr="00852E86" w:rsidRDefault="00852E86" w:rsidP="00852E86">
            <w:pPr>
              <w:rPr>
                <w:sz w:val="24"/>
                <w:szCs w:val="24"/>
              </w:rPr>
            </w:pPr>
            <w:r>
              <w:rPr>
                <w:sz w:val="24"/>
                <w:szCs w:val="24"/>
              </w:rPr>
              <w:t>26 September 2013</w:t>
            </w:r>
          </w:p>
        </w:tc>
        <w:tc>
          <w:tcPr>
            <w:tcW w:w="3710" w:type="dxa"/>
          </w:tcPr>
          <w:p w:rsidR="00852E86" w:rsidRPr="00852E86" w:rsidRDefault="00852E86" w:rsidP="007E3F7F">
            <w:pPr>
              <w:rPr>
                <w:sz w:val="24"/>
                <w:szCs w:val="24"/>
              </w:rPr>
            </w:pPr>
            <w:r>
              <w:rPr>
                <w:sz w:val="24"/>
                <w:szCs w:val="24"/>
              </w:rPr>
              <w:t>Introduction</w:t>
            </w:r>
          </w:p>
        </w:tc>
        <w:tc>
          <w:tcPr>
            <w:tcW w:w="2939" w:type="dxa"/>
          </w:tcPr>
          <w:p w:rsidR="00852E86" w:rsidRPr="00852E86" w:rsidRDefault="00852E86" w:rsidP="007E3F7F">
            <w:pPr>
              <w:rPr>
                <w:sz w:val="24"/>
                <w:szCs w:val="24"/>
              </w:rPr>
            </w:pPr>
          </w:p>
        </w:tc>
      </w:tr>
      <w:tr w:rsidR="00852E86" w:rsidRPr="00852E86">
        <w:tc>
          <w:tcPr>
            <w:tcW w:w="534" w:type="dxa"/>
          </w:tcPr>
          <w:p w:rsidR="00852E86" w:rsidRDefault="00852E86" w:rsidP="007E3F7F">
            <w:pPr>
              <w:rPr>
                <w:sz w:val="24"/>
                <w:szCs w:val="24"/>
              </w:rPr>
            </w:pPr>
            <w:r>
              <w:rPr>
                <w:sz w:val="24"/>
                <w:szCs w:val="24"/>
              </w:rPr>
              <w:t>2</w:t>
            </w:r>
          </w:p>
        </w:tc>
        <w:tc>
          <w:tcPr>
            <w:tcW w:w="3523" w:type="dxa"/>
          </w:tcPr>
          <w:p w:rsidR="00852E86" w:rsidRPr="00852E86" w:rsidRDefault="00852E86" w:rsidP="007E3F7F">
            <w:pPr>
              <w:rPr>
                <w:sz w:val="24"/>
                <w:szCs w:val="24"/>
              </w:rPr>
            </w:pPr>
            <w:r>
              <w:rPr>
                <w:sz w:val="24"/>
                <w:szCs w:val="24"/>
              </w:rPr>
              <w:t>23 September 2013</w:t>
            </w:r>
          </w:p>
        </w:tc>
        <w:tc>
          <w:tcPr>
            <w:tcW w:w="3710" w:type="dxa"/>
          </w:tcPr>
          <w:p w:rsidR="00852E86" w:rsidRPr="00852E86" w:rsidRDefault="00852E86" w:rsidP="007E3F7F">
            <w:pPr>
              <w:rPr>
                <w:sz w:val="24"/>
                <w:szCs w:val="24"/>
              </w:rPr>
            </w:pPr>
            <w:r>
              <w:rPr>
                <w:sz w:val="24"/>
                <w:szCs w:val="24"/>
              </w:rPr>
              <w:t>Design of a Taxation system</w:t>
            </w:r>
          </w:p>
        </w:tc>
        <w:tc>
          <w:tcPr>
            <w:tcW w:w="2939" w:type="dxa"/>
          </w:tcPr>
          <w:p w:rsidR="00852E86" w:rsidRPr="00852E86" w:rsidRDefault="00852E86" w:rsidP="007E3F7F">
            <w:pPr>
              <w:rPr>
                <w:sz w:val="24"/>
                <w:szCs w:val="24"/>
              </w:rPr>
            </w:pPr>
            <w:r>
              <w:rPr>
                <w:sz w:val="24"/>
                <w:szCs w:val="24"/>
              </w:rPr>
              <w:t>1,3</w:t>
            </w:r>
          </w:p>
        </w:tc>
      </w:tr>
      <w:tr w:rsidR="00852E86" w:rsidRPr="00852E86">
        <w:tc>
          <w:tcPr>
            <w:tcW w:w="534" w:type="dxa"/>
          </w:tcPr>
          <w:p w:rsidR="00852E86" w:rsidRDefault="00852E86" w:rsidP="007E3F7F">
            <w:pPr>
              <w:rPr>
                <w:sz w:val="24"/>
                <w:szCs w:val="24"/>
              </w:rPr>
            </w:pPr>
            <w:r>
              <w:rPr>
                <w:sz w:val="24"/>
                <w:szCs w:val="24"/>
              </w:rPr>
              <w:t>3</w:t>
            </w:r>
          </w:p>
        </w:tc>
        <w:tc>
          <w:tcPr>
            <w:tcW w:w="3523" w:type="dxa"/>
          </w:tcPr>
          <w:p w:rsidR="00852E86" w:rsidRPr="00852E86" w:rsidRDefault="00852E86" w:rsidP="007E3F7F">
            <w:pPr>
              <w:rPr>
                <w:sz w:val="24"/>
                <w:szCs w:val="24"/>
              </w:rPr>
            </w:pPr>
            <w:r>
              <w:rPr>
                <w:sz w:val="24"/>
                <w:szCs w:val="24"/>
              </w:rPr>
              <w:t>30 September 2013</w:t>
            </w:r>
          </w:p>
        </w:tc>
        <w:tc>
          <w:tcPr>
            <w:tcW w:w="3710" w:type="dxa"/>
          </w:tcPr>
          <w:p w:rsidR="00852E86" w:rsidRPr="00852E86" w:rsidRDefault="00852E86" w:rsidP="007E3F7F">
            <w:pPr>
              <w:rPr>
                <w:sz w:val="24"/>
                <w:szCs w:val="24"/>
              </w:rPr>
            </w:pPr>
            <w:r>
              <w:rPr>
                <w:sz w:val="24"/>
                <w:szCs w:val="24"/>
              </w:rPr>
              <w:t>Tax practice and administration</w:t>
            </w:r>
          </w:p>
        </w:tc>
        <w:tc>
          <w:tcPr>
            <w:tcW w:w="2939" w:type="dxa"/>
          </w:tcPr>
          <w:p w:rsidR="00852E86" w:rsidRPr="00852E86" w:rsidRDefault="00852E86" w:rsidP="007E3F7F">
            <w:pPr>
              <w:rPr>
                <w:sz w:val="24"/>
                <w:szCs w:val="24"/>
              </w:rPr>
            </w:pPr>
            <w:r>
              <w:rPr>
                <w:sz w:val="24"/>
                <w:szCs w:val="24"/>
              </w:rPr>
              <w:t>2,3</w:t>
            </w:r>
          </w:p>
        </w:tc>
      </w:tr>
      <w:tr w:rsidR="00852E86" w:rsidRPr="00852E86">
        <w:tc>
          <w:tcPr>
            <w:tcW w:w="534" w:type="dxa"/>
          </w:tcPr>
          <w:p w:rsidR="00852E86" w:rsidRPr="00852E86" w:rsidRDefault="00852E86" w:rsidP="007E3F7F">
            <w:pPr>
              <w:rPr>
                <w:sz w:val="24"/>
                <w:szCs w:val="24"/>
              </w:rPr>
            </w:pPr>
            <w:r>
              <w:rPr>
                <w:sz w:val="24"/>
                <w:szCs w:val="24"/>
              </w:rPr>
              <w:t>4</w:t>
            </w:r>
          </w:p>
        </w:tc>
        <w:tc>
          <w:tcPr>
            <w:tcW w:w="3523" w:type="dxa"/>
          </w:tcPr>
          <w:p w:rsidR="00852E86" w:rsidRPr="00852E86" w:rsidRDefault="00852E86" w:rsidP="007E3F7F">
            <w:pPr>
              <w:rPr>
                <w:sz w:val="24"/>
                <w:szCs w:val="24"/>
              </w:rPr>
            </w:pPr>
            <w:r>
              <w:rPr>
                <w:sz w:val="24"/>
                <w:szCs w:val="24"/>
              </w:rPr>
              <w:t>7 October 2013</w:t>
            </w:r>
          </w:p>
        </w:tc>
        <w:tc>
          <w:tcPr>
            <w:tcW w:w="3710" w:type="dxa"/>
          </w:tcPr>
          <w:p w:rsidR="00852E86" w:rsidRPr="00852E86" w:rsidRDefault="00852E86" w:rsidP="007E3F7F">
            <w:pPr>
              <w:rPr>
                <w:sz w:val="24"/>
                <w:szCs w:val="24"/>
              </w:rPr>
            </w:pPr>
            <w:r>
              <w:rPr>
                <w:sz w:val="24"/>
                <w:szCs w:val="24"/>
              </w:rPr>
              <w:t>Personal income tax – computation of income</w:t>
            </w:r>
          </w:p>
        </w:tc>
        <w:tc>
          <w:tcPr>
            <w:tcW w:w="2939" w:type="dxa"/>
          </w:tcPr>
          <w:p w:rsidR="00852E86" w:rsidRPr="00852E86" w:rsidRDefault="00852E86" w:rsidP="007E3F7F">
            <w:pPr>
              <w:rPr>
                <w:sz w:val="24"/>
                <w:szCs w:val="24"/>
              </w:rPr>
            </w:pPr>
            <w:r>
              <w:rPr>
                <w:sz w:val="24"/>
                <w:szCs w:val="24"/>
              </w:rPr>
              <w:t>2,3,4,16</w:t>
            </w:r>
          </w:p>
        </w:tc>
      </w:tr>
      <w:tr w:rsidR="00852E86" w:rsidRPr="00852E86">
        <w:tc>
          <w:tcPr>
            <w:tcW w:w="534" w:type="dxa"/>
          </w:tcPr>
          <w:p w:rsidR="00852E86" w:rsidRPr="00852E86" w:rsidRDefault="00852E86" w:rsidP="007E3F7F">
            <w:pPr>
              <w:rPr>
                <w:sz w:val="24"/>
                <w:szCs w:val="24"/>
              </w:rPr>
            </w:pPr>
            <w:r>
              <w:rPr>
                <w:sz w:val="24"/>
                <w:szCs w:val="24"/>
              </w:rPr>
              <w:t>5</w:t>
            </w:r>
          </w:p>
        </w:tc>
        <w:tc>
          <w:tcPr>
            <w:tcW w:w="3523" w:type="dxa"/>
          </w:tcPr>
          <w:p w:rsidR="00852E86" w:rsidRPr="00852E86" w:rsidRDefault="00852E86" w:rsidP="007E3F7F">
            <w:pPr>
              <w:rPr>
                <w:sz w:val="24"/>
                <w:szCs w:val="24"/>
              </w:rPr>
            </w:pPr>
            <w:r>
              <w:rPr>
                <w:sz w:val="24"/>
                <w:szCs w:val="24"/>
              </w:rPr>
              <w:t>14 October 2013</w:t>
            </w:r>
          </w:p>
        </w:tc>
        <w:tc>
          <w:tcPr>
            <w:tcW w:w="3710" w:type="dxa"/>
          </w:tcPr>
          <w:p w:rsidR="00852E86" w:rsidRPr="00852E86" w:rsidRDefault="00852E86" w:rsidP="007E3F7F">
            <w:pPr>
              <w:rPr>
                <w:sz w:val="24"/>
                <w:szCs w:val="24"/>
              </w:rPr>
            </w:pPr>
            <w:r>
              <w:rPr>
                <w:sz w:val="24"/>
                <w:szCs w:val="24"/>
              </w:rPr>
              <w:t>Personal income tax – employment earnings and benefits</w:t>
            </w:r>
          </w:p>
        </w:tc>
        <w:tc>
          <w:tcPr>
            <w:tcW w:w="2939" w:type="dxa"/>
          </w:tcPr>
          <w:p w:rsidR="00852E86" w:rsidRPr="00852E86" w:rsidRDefault="00852E86" w:rsidP="007E3F7F">
            <w:pPr>
              <w:rPr>
                <w:sz w:val="24"/>
                <w:szCs w:val="24"/>
              </w:rPr>
            </w:pPr>
            <w:r>
              <w:rPr>
                <w:sz w:val="24"/>
                <w:szCs w:val="24"/>
              </w:rPr>
              <w:t>7.8</w:t>
            </w:r>
          </w:p>
        </w:tc>
      </w:tr>
      <w:tr w:rsidR="00852E86" w:rsidRPr="00852E86">
        <w:tc>
          <w:tcPr>
            <w:tcW w:w="534" w:type="dxa"/>
          </w:tcPr>
          <w:p w:rsidR="00852E86" w:rsidRPr="00852E86" w:rsidRDefault="00852E86" w:rsidP="007E3F7F">
            <w:pPr>
              <w:rPr>
                <w:sz w:val="24"/>
                <w:szCs w:val="24"/>
              </w:rPr>
            </w:pPr>
            <w:r>
              <w:rPr>
                <w:sz w:val="24"/>
                <w:szCs w:val="24"/>
              </w:rPr>
              <w:t>6</w:t>
            </w:r>
          </w:p>
        </w:tc>
        <w:tc>
          <w:tcPr>
            <w:tcW w:w="3523" w:type="dxa"/>
          </w:tcPr>
          <w:p w:rsidR="00852E86" w:rsidRPr="00852E86" w:rsidRDefault="00852E86" w:rsidP="007E3F7F">
            <w:pPr>
              <w:rPr>
                <w:sz w:val="24"/>
                <w:szCs w:val="24"/>
              </w:rPr>
            </w:pPr>
            <w:r>
              <w:rPr>
                <w:sz w:val="24"/>
                <w:szCs w:val="24"/>
              </w:rPr>
              <w:t>21 October 2013</w:t>
            </w:r>
          </w:p>
        </w:tc>
        <w:tc>
          <w:tcPr>
            <w:tcW w:w="3710" w:type="dxa"/>
          </w:tcPr>
          <w:p w:rsidR="00852E86" w:rsidRPr="00852E86" w:rsidRDefault="00852E86" w:rsidP="007E3F7F">
            <w:pPr>
              <w:rPr>
                <w:sz w:val="24"/>
                <w:szCs w:val="24"/>
              </w:rPr>
            </w:pPr>
            <w:r>
              <w:rPr>
                <w:sz w:val="24"/>
                <w:szCs w:val="24"/>
              </w:rPr>
              <w:t>Personal income tax – property and savings income, and dividends</w:t>
            </w:r>
          </w:p>
        </w:tc>
        <w:tc>
          <w:tcPr>
            <w:tcW w:w="2939" w:type="dxa"/>
          </w:tcPr>
          <w:p w:rsidR="00852E86" w:rsidRPr="00852E86" w:rsidRDefault="00852E86" w:rsidP="007E3F7F">
            <w:pPr>
              <w:rPr>
                <w:sz w:val="24"/>
                <w:szCs w:val="24"/>
              </w:rPr>
            </w:pPr>
            <w:r>
              <w:rPr>
                <w:sz w:val="24"/>
                <w:szCs w:val="24"/>
              </w:rPr>
              <w:t>5,6</w:t>
            </w:r>
          </w:p>
        </w:tc>
      </w:tr>
      <w:tr w:rsidR="00852E86" w:rsidRPr="00852E86">
        <w:tc>
          <w:tcPr>
            <w:tcW w:w="534" w:type="dxa"/>
          </w:tcPr>
          <w:p w:rsidR="00852E86" w:rsidRPr="00852E86" w:rsidRDefault="00B62E66" w:rsidP="007E3F7F">
            <w:pPr>
              <w:rPr>
                <w:sz w:val="24"/>
                <w:szCs w:val="24"/>
              </w:rPr>
            </w:pPr>
            <w:r>
              <w:rPr>
                <w:sz w:val="24"/>
                <w:szCs w:val="24"/>
              </w:rPr>
              <w:t xml:space="preserve">7 </w:t>
            </w:r>
          </w:p>
        </w:tc>
        <w:tc>
          <w:tcPr>
            <w:tcW w:w="3523" w:type="dxa"/>
          </w:tcPr>
          <w:p w:rsidR="00852E86" w:rsidRPr="00852E86" w:rsidRDefault="00B62E66" w:rsidP="007E3F7F">
            <w:pPr>
              <w:rPr>
                <w:sz w:val="24"/>
                <w:szCs w:val="24"/>
              </w:rPr>
            </w:pPr>
            <w:r>
              <w:rPr>
                <w:sz w:val="24"/>
                <w:szCs w:val="24"/>
              </w:rPr>
              <w:t>28 October 2013</w:t>
            </w:r>
          </w:p>
        </w:tc>
        <w:tc>
          <w:tcPr>
            <w:tcW w:w="3710" w:type="dxa"/>
          </w:tcPr>
          <w:p w:rsidR="00852E86" w:rsidRPr="00852E86" w:rsidRDefault="00B62E66" w:rsidP="007E3F7F">
            <w:pPr>
              <w:rPr>
                <w:sz w:val="24"/>
                <w:szCs w:val="24"/>
              </w:rPr>
            </w:pPr>
            <w:r>
              <w:rPr>
                <w:sz w:val="24"/>
                <w:szCs w:val="24"/>
              </w:rPr>
              <w:t>Personal income tax – pension contributions and other reliefs</w:t>
            </w:r>
          </w:p>
        </w:tc>
        <w:tc>
          <w:tcPr>
            <w:tcW w:w="2939" w:type="dxa"/>
          </w:tcPr>
          <w:p w:rsidR="00852E86" w:rsidRPr="00852E86" w:rsidRDefault="00B62E66" w:rsidP="007E3F7F">
            <w:pPr>
              <w:rPr>
                <w:sz w:val="24"/>
                <w:szCs w:val="24"/>
              </w:rPr>
            </w:pPr>
            <w:r>
              <w:rPr>
                <w:sz w:val="24"/>
                <w:szCs w:val="24"/>
              </w:rPr>
              <w:t>14</w:t>
            </w:r>
          </w:p>
        </w:tc>
      </w:tr>
      <w:tr w:rsidR="00852E86" w:rsidRPr="00852E86">
        <w:tc>
          <w:tcPr>
            <w:tcW w:w="534" w:type="dxa"/>
          </w:tcPr>
          <w:p w:rsidR="00852E86" w:rsidRPr="00852E86" w:rsidRDefault="00B62E66" w:rsidP="007E3F7F">
            <w:pPr>
              <w:rPr>
                <w:sz w:val="24"/>
                <w:szCs w:val="24"/>
              </w:rPr>
            </w:pPr>
            <w:r>
              <w:rPr>
                <w:sz w:val="24"/>
                <w:szCs w:val="24"/>
              </w:rPr>
              <w:t>8</w:t>
            </w:r>
          </w:p>
        </w:tc>
        <w:tc>
          <w:tcPr>
            <w:tcW w:w="3523" w:type="dxa"/>
          </w:tcPr>
          <w:p w:rsidR="00852E86" w:rsidRPr="00852E86" w:rsidRDefault="00B62E66" w:rsidP="007E3F7F">
            <w:pPr>
              <w:rPr>
                <w:sz w:val="24"/>
                <w:szCs w:val="24"/>
              </w:rPr>
            </w:pPr>
            <w:r>
              <w:rPr>
                <w:sz w:val="24"/>
                <w:szCs w:val="24"/>
              </w:rPr>
              <w:t>4 November 2013</w:t>
            </w:r>
          </w:p>
        </w:tc>
        <w:tc>
          <w:tcPr>
            <w:tcW w:w="3710" w:type="dxa"/>
          </w:tcPr>
          <w:p w:rsidR="00852E86" w:rsidRPr="00852E86" w:rsidRDefault="00B62E66" w:rsidP="007E3F7F">
            <w:pPr>
              <w:rPr>
                <w:sz w:val="24"/>
                <w:szCs w:val="24"/>
              </w:rPr>
            </w:pPr>
            <w:r>
              <w:rPr>
                <w:sz w:val="24"/>
                <w:szCs w:val="24"/>
              </w:rPr>
              <w:t>Trading income – computation of taxable trading profits</w:t>
            </w:r>
          </w:p>
        </w:tc>
        <w:tc>
          <w:tcPr>
            <w:tcW w:w="2939" w:type="dxa"/>
          </w:tcPr>
          <w:p w:rsidR="00852E86" w:rsidRPr="00852E86" w:rsidRDefault="00B62E66" w:rsidP="007E3F7F">
            <w:pPr>
              <w:rPr>
                <w:sz w:val="24"/>
                <w:szCs w:val="24"/>
              </w:rPr>
            </w:pPr>
            <w:r>
              <w:rPr>
                <w:sz w:val="24"/>
                <w:szCs w:val="24"/>
              </w:rPr>
              <w:t>9, 15</w:t>
            </w:r>
          </w:p>
        </w:tc>
      </w:tr>
      <w:tr w:rsidR="00852E86" w:rsidRPr="00852E86">
        <w:tc>
          <w:tcPr>
            <w:tcW w:w="534" w:type="dxa"/>
          </w:tcPr>
          <w:p w:rsidR="00852E86" w:rsidRPr="00852E86" w:rsidRDefault="00B62E66" w:rsidP="007E3F7F">
            <w:pPr>
              <w:rPr>
                <w:sz w:val="24"/>
                <w:szCs w:val="24"/>
              </w:rPr>
            </w:pPr>
            <w:r>
              <w:rPr>
                <w:sz w:val="24"/>
                <w:szCs w:val="24"/>
              </w:rPr>
              <w:t>9</w:t>
            </w:r>
          </w:p>
        </w:tc>
        <w:tc>
          <w:tcPr>
            <w:tcW w:w="3523" w:type="dxa"/>
          </w:tcPr>
          <w:p w:rsidR="00852E86" w:rsidRPr="00852E86" w:rsidRDefault="00B62E66" w:rsidP="007E3F7F">
            <w:pPr>
              <w:rPr>
                <w:sz w:val="24"/>
                <w:szCs w:val="24"/>
              </w:rPr>
            </w:pPr>
            <w:r>
              <w:rPr>
                <w:sz w:val="24"/>
                <w:szCs w:val="24"/>
              </w:rPr>
              <w:t>11 November 2013</w:t>
            </w:r>
          </w:p>
        </w:tc>
        <w:tc>
          <w:tcPr>
            <w:tcW w:w="3710" w:type="dxa"/>
          </w:tcPr>
          <w:p w:rsidR="00852E86" w:rsidRPr="00852E86" w:rsidRDefault="00B62E66" w:rsidP="007E3F7F">
            <w:pPr>
              <w:rPr>
                <w:sz w:val="24"/>
                <w:szCs w:val="24"/>
              </w:rPr>
            </w:pPr>
            <w:r>
              <w:rPr>
                <w:sz w:val="24"/>
                <w:szCs w:val="24"/>
              </w:rPr>
              <w:t>Trading income – capital allowances</w:t>
            </w:r>
          </w:p>
        </w:tc>
        <w:tc>
          <w:tcPr>
            <w:tcW w:w="2939" w:type="dxa"/>
          </w:tcPr>
          <w:p w:rsidR="00852E86" w:rsidRPr="00852E86" w:rsidRDefault="00B62E66" w:rsidP="007E3F7F">
            <w:pPr>
              <w:rPr>
                <w:sz w:val="24"/>
                <w:szCs w:val="24"/>
              </w:rPr>
            </w:pPr>
            <w:r>
              <w:rPr>
                <w:sz w:val="24"/>
                <w:szCs w:val="24"/>
              </w:rPr>
              <w:t>11</w:t>
            </w:r>
          </w:p>
        </w:tc>
      </w:tr>
      <w:tr w:rsidR="00852E86" w:rsidRPr="00852E86">
        <w:tc>
          <w:tcPr>
            <w:tcW w:w="534" w:type="dxa"/>
          </w:tcPr>
          <w:p w:rsidR="00852E86" w:rsidRPr="00852E86" w:rsidRDefault="00B62E66" w:rsidP="007E3F7F">
            <w:pPr>
              <w:rPr>
                <w:sz w:val="24"/>
                <w:szCs w:val="24"/>
              </w:rPr>
            </w:pPr>
            <w:r>
              <w:rPr>
                <w:sz w:val="24"/>
                <w:szCs w:val="24"/>
              </w:rPr>
              <w:t>10</w:t>
            </w:r>
          </w:p>
        </w:tc>
        <w:tc>
          <w:tcPr>
            <w:tcW w:w="3523" w:type="dxa"/>
          </w:tcPr>
          <w:p w:rsidR="00852E86" w:rsidRPr="00852E86" w:rsidRDefault="00B62E66" w:rsidP="007E3F7F">
            <w:pPr>
              <w:rPr>
                <w:sz w:val="24"/>
                <w:szCs w:val="24"/>
              </w:rPr>
            </w:pPr>
            <w:r>
              <w:rPr>
                <w:sz w:val="24"/>
                <w:szCs w:val="24"/>
              </w:rPr>
              <w:t>18 November 2013</w:t>
            </w:r>
          </w:p>
        </w:tc>
        <w:tc>
          <w:tcPr>
            <w:tcW w:w="3710" w:type="dxa"/>
          </w:tcPr>
          <w:p w:rsidR="00852E86" w:rsidRPr="00852E86" w:rsidRDefault="00B62E66" w:rsidP="007E3F7F">
            <w:pPr>
              <w:rPr>
                <w:sz w:val="24"/>
                <w:szCs w:val="24"/>
              </w:rPr>
            </w:pPr>
            <w:r>
              <w:rPr>
                <w:sz w:val="24"/>
                <w:szCs w:val="24"/>
              </w:rPr>
              <w:t>Trading income – taxable profits and capital allowances</w:t>
            </w:r>
          </w:p>
        </w:tc>
        <w:tc>
          <w:tcPr>
            <w:tcW w:w="2939" w:type="dxa"/>
          </w:tcPr>
          <w:p w:rsidR="00852E86" w:rsidRPr="00852E86" w:rsidRDefault="00B62E66" w:rsidP="007E3F7F">
            <w:pPr>
              <w:rPr>
                <w:sz w:val="24"/>
                <w:szCs w:val="24"/>
              </w:rPr>
            </w:pPr>
            <w:r>
              <w:rPr>
                <w:sz w:val="24"/>
                <w:szCs w:val="24"/>
              </w:rPr>
              <w:t>9, 11, 15</w:t>
            </w:r>
          </w:p>
        </w:tc>
      </w:tr>
      <w:tr w:rsidR="00852E86" w:rsidRPr="00852E86">
        <w:tc>
          <w:tcPr>
            <w:tcW w:w="534" w:type="dxa"/>
          </w:tcPr>
          <w:p w:rsidR="00852E86" w:rsidRPr="00852E86" w:rsidRDefault="00B62E66" w:rsidP="007E3F7F">
            <w:pPr>
              <w:rPr>
                <w:sz w:val="24"/>
                <w:szCs w:val="24"/>
              </w:rPr>
            </w:pPr>
            <w:r>
              <w:rPr>
                <w:sz w:val="24"/>
                <w:szCs w:val="24"/>
              </w:rPr>
              <w:t>11</w:t>
            </w:r>
          </w:p>
        </w:tc>
        <w:tc>
          <w:tcPr>
            <w:tcW w:w="3523" w:type="dxa"/>
          </w:tcPr>
          <w:p w:rsidR="00852E86" w:rsidRPr="00852E86" w:rsidRDefault="00B62E66" w:rsidP="007E3F7F">
            <w:pPr>
              <w:rPr>
                <w:sz w:val="24"/>
                <w:szCs w:val="24"/>
              </w:rPr>
            </w:pPr>
            <w:r>
              <w:rPr>
                <w:sz w:val="24"/>
                <w:szCs w:val="24"/>
              </w:rPr>
              <w:t>25 November 2013</w:t>
            </w:r>
          </w:p>
        </w:tc>
        <w:tc>
          <w:tcPr>
            <w:tcW w:w="3710" w:type="dxa"/>
          </w:tcPr>
          <w:p w:rsidR="00852E86" w:rsidRPr="00852E86" w:rsidRDefault="00B62E66" w:rsidP="007E3F7F">
            <w:pPr>
              <w:rPr>
                <w:sz w:val="24"/>
                <w:szCs w:val="24"/>
              </w:rPr>
            </w:pPr>
            <w:r>
              <w:rPr>
                <w:sz w:val="24"/>
                <w:szCs w:val="24"/>
              </w:rPr>
              <w:t>Trading income – basis periods</w:t>
            </w:r>
          </w:p>
        </w:tc>
        <w:tc>
          <w:tcPr>
            <w:tcW w:w="2939" w:type="dxa"/>
          </w:tcPr>
          <w:p w:rsidR="00852E86" w:rsidRPr="00852E86" w:rsidRDefault="00B62E66" w:rsidP="007E3F7F">
            <w:pPr>
              <w:rPr>
                <w:sz w:val="24"/>
                <w:szCs w:val="24"/>
              </w:rPr>
            </w:pPr>
            <w:r>
              <w:rPr>
                <w:sz w:val="24"/>
                <w:szCs w:val="24"/>
              </w:rPr>
              <w:t>10</w:t>
            </w:r>
          </w:p>
        </w:tc>
      </w:tr>
      <w:tr w:rsidR="00852E86" w:rsidRPr="00852E86">
        <w:tc>
          <w:tcPr>
            <w:tcW w:w="534" w:type="dxa"/>
          </w:tcPr>
          <w:p w:rsidR="00852E86" w:rsidRPr="00852E86" w:rsidRDefault="00B62E66" w:rsidP="007E3F7F">
            <w:pPr>
              <w:rPr>
                <w:sz w:val="24"/>
                <w:szCs w:val="24"/>
              </w:rPr>
            </w:pPr>
            <w:r>
              <w:rPr>
                <w:sz w:val="24"/>
                <w:szCs w:val="24"/>
              </w:rPr>
              <w:t>12</w:t>
            </w:r>
          </w:p>
        </w:tc>
        <w:tc>
          <w:tcPr>
            <w:tcW w:w="3523" w:type="dxa"/>
          </w:tcPr>
          <w:p w:rsidR="00852E86" w:rsidRPr="00852E86" w:rsidRDefault="00B62E66" w:rsidP="007E3F7F">
            <w:pPr>
              <w:rPr>
                <w:sz w:val="24"/>
                <w:szCs w:val="24"/>
              </w:rPr>
            </w:pPr>
            <w:r>
              <w:rPr>
                <w:sz w:val="24"/>
                <w:szCs w:val="24"/>
              </w:rPr>
              <w:t>2 December 2103</w:t>
            </w:r>
          </w:p>
        </w:tc>
        <w:tc>
          <w:tcPr>
            <w:tcW w:w="3710" w:type="dxa"/>
          </w:tcPr>
          <w:p w:rsidR="00852E86" w:rsidRPr="00852E86" w:rsidRDefault="00B62E66" w:rsidP="007E3F7F">
            <w:pPr>
              <w:rPr>
                <w:sz w:val="24"/>
                <w:szCs w:val="24"/>
              </w:rPr>
            </w:pPr>
            <w:r>
              <w:rPr>
                <w:sz w:val="24"/>
                <w:szCs w:val="24"/>
              </w:rPr>
              <w:t>Trading income – trading losses</w:t>
            </w:r>
          </w:p>
        </w:tc>
        <w:tc>
          <w:tcPr>
            <w:tcW w:w="2939" w:type="dxa"/>
          </w:tcPr>
          <w:p w:rsidR="00852E86" w:rsidRPr="00852E86" w:rsidRDefault="00B62E66" w:rsidP="007E3F7F">
            <w:pPr>
              <w:rPr>
                <w:sz w:val="24"/>
                <w:szCs w:val="24"/>
              </w:rPr>
            </w:pPr>
            <w:r>
              <w:rPr>
                <w:sz w:val="24"/>
                <w:szCs w:val="24"/>
              </w:rPr>
              <w:t>12</w:t>
            </w:r>
          </w:p>
        </w:tc>
      </w:tr>
      <w:tr w:rsidR="00852E86" w:rsidRPr="00852E86">
        <w:tc>
          <w:tcPr>
            <w:tcW w:w="534" w:type="dxa"/>
          </w:tcPr>
          <w:p w:rsidR="00852E86" w:rsidRPr="00852E86" w:rsidRDefault="00B62E66" w:rsidP="007E3F7F">
            <w:pPr>
              <w:rPr>
                <w:sz w:val="24"/>
                <w:szCs w:val="24"/>
              </w:rPr>
            </w:pPr>
            <w:r>
              <w:rPr>
                <w:sz w:val="24"/>
                <w:szCs w:val="24"/>
              </w:rPr>
              <w:t>13</w:t>
            </w:r>
          </w:p>
        </w:tc>
        <w:tc>
          <w:tcPr>
            <w:tcW w:w="3523" w:type="dxa"/>
          </w:tcPr>
          <w:p w:rsidR="00852E86" w:rsidRPr="00852E86" w:rsidRDefault="00B62E66" w:rsidP="007E3F7F">
            <w:pPr>
              <w:rPr>
                <w:sz w:val="24"/>
                <w:szCs w:val="24"/>
              </w:rPr>
            </w:pPr>
            <w:r>
              <w:rPr>
                <w:sz w:val="24"/>
                <w:szCs w:val="24"/>
              </w:rPr>
              <w:t>9 December 2013</w:t>
            </w:r>
          </w:p>
        </w:tc>
        <w:tc>
          <w:tcPr>
            <w:tcW w:w="3710" w:type="dxa"/>
          </w:tcPr>
          <w:p w:rsidR="00852E86" w:rsidRPr="00852E86" w:rsidRDefault="00B62E66" w:rsidP="007E3F7F">
            <w:pPr>
              <w:rPr>
                <w:sz w:val="24"/>
                <w:szCs w:val="24"/>
              </w:rPr>
            </w:pPr>
            <w:r>
              <w:rPr>
                <w:sz w:val="24"/>
                <w:szCs w:val="24"/>
              </w:rPr>
              <w:t>Trading income - partnerships</w:t>
            </w:r>
          </w:p>
        </w:tc>
        <w:tc>
          <w:tcPr>
            <w:tcW w:w="2939" w:type="dxa"/>
          </w:tcPr>
          <w:p w:rsidR="00852E86" w:rsidRPr="00852E86" w:rsidRDefault="00B62E66" w:rsidP="007E3F7F">
            <w:pPr>
              <w:rPr>
                <w:sz w:val="24"/>
                <w:szCs w:val="24"/>
              </w:rPr>
            </w:pPr>
            <w:r>
              <w:rPr>
                <w:sz w:val="24"/>
                <w:szCs w:val="24"/>
              </w:rPr>
              <w:t>13</w:t>
            </w:r>
          </w:p>
        </w:tc>
      </w:tr>
    </w:tbl>
    <w:p w:rsidR="009057AA" w:rsidRDefault="009057AA"/>
    <w:p w:rsidR="009057AA" w:rsidRDefault="009057AA"/>
    <w:p w:rsidR="009057AA" w:rsidRDefault="009057AA"/>
    <w:tbl>
      <w:tblPr>
        <w:tblStyle w:val="TableGrid"/>
        <w:tblW w:w="0" w:type="auto"/>
        <w:tblLook w:val="04A0" w:firstRow="1" w:lastRow="0" w:firstColumn="1" w:lastColumn="0" w:noHBand="0" w:noVBand="1"/>
      </w:tblPr>
      <w:tblGrid>
        <w:gridCol w:w="534"/>
        <w:gridCol w:w="3523"/>
        <w:gridCol w:w="3710"/>
        <w:gridCol w:w="2939"/>
      </w:tblGrid>
      <w:tr w:rsidR="00852E86" w:rsidRPr="00852E86">
        <w:tc>
          <w:tcPr>
            <w:tcW w:w="534" w:type="dxa"/>
          </w:tcPr>
          <w:p w:rsidR="00852E86" w:rsidRPr="00852E86" w:rsidRDefault="00852E86" w:rsidP="007E3F7F">
            <w:pPr>
              <w:rPr>
                <w:sz w:val="24"/>
                <w:szCs w:val="24"/>
              </w:rPr>
            </w:pPr>
          </w:p>
        </w:tc>
        <w:tc>
          <w:tcPr>
            <w:tcW w:w="3523" w:type="dxa"/>
          </w:tcPr>
          <w:p w:rsidR="00852E86" w:rsidRDefault="009057AA" w:rsidP="007E3F7F">
            <w:pPr>
              <w:rPr>
                <w:b/>
                <w:sz w:val="24"/>
                <w:szCs w:val="24"/>
                <w:u w:val="single"/>
              </w:rPr>
            </w:pPr>
            <w:r>
              <w:rPr>
                <w:b/>
                <w:sz w:val="24"/>
                <w:szCs w:val="24"/>
                <w:u w:val="single"/>
              </w:rPr>
              <w:t>DATE</w:t>
            </w:r>
          </w:p>
          <w:p w:rsidR="009057AA" w:rsidRPr="009057AA" w:rsidRDefault="009057AA" w:rsidP="007E3F7F">
            <w:pPr>
              <w:rPr>
                <w:b/>
                <w:sz w:val="24"/>
                <w:szCs w:val="24"/>
                <w:u w:val="single"/>
              </w:rPr>
            </w:pPr>
            <w:r>
              <w:rPr>
                <w:b/>
                <w:sz w:val="24"/>
                <w:szCs w:val="24"/>
                <w:u w:val="single"/>
              </w:rPr>
              <w:t>SEMESTER TWO</w:t>
            </w:r>
          </w:p>
        </w:tc>
        <w:tc>
          <w:tcPr>
            <w:tcW w:w="3710" w:type="dxa"/>
          </w:tcPr>
          <w:p w:rsidR="00852E86" w:rsidRPr="009057AA" w:rsidRDefault="009057AA" w:rsidP="007E3F7F">
            <w:pPr>
              <w:rPr>
                <w:b/>
                <w:sz w:val="24"/>
                <w:szCs w:val="24"/>
                <w:u w:val="single"/>
              </w:rPr>
            </w:pPr>
            <w:r>
              <w:rPr>
                <w:b/>
                <w:sz w:val="24"/>
                <w:szCs w:val="24"/>
                <w:u w:val="single"/>
              </w:rPr>
              <w:t>TOPIC</w:t>
            </w:r>
          </w:p>
        </w:tc>
        <w:tc>
          <w:tcPr>
            <w:tcW w:w="2939" w:type="dxa"/>
          </w:tcPr>
          <w:p w:rsidR="00852E86" w:rsidRPr="00852E86" w:rsidRDefault="009057AA" w:rsidP="007E3F7F">
            <w:pPr>
              <w:rPr>
                <w:sz w:val="24"/>
                <w:szCs w:val="24"/>
              </w:rPr>
            </w:pPr>
            <w:r>
              <w:rPr>
                <w:b/>
                <w:sz w:val="24"/>
                <w:szCs w:val="24"/>
                <w:u w:val="single"/>
              </w:rPr>
              <w:t>READING (Chapters of Melville textbook, unless noted otherwise)</w:t>
            </w:r>
          </w:p>
        </w:tc>
      </w:tr>
      <w:tr w:rsidR="00852E86" w:rsidRPr="00852E86">
        <w:tc>
          <w:tcPr>
            <w:tcW w:w="534" w:type="dxa"/>
          </w:tcPr>
          <w:p w:rsidR="00852E86" w:rsidRPr="00852E86" w:rsidRDefault="00B62E66" w:rsidP="007E3F7F">
            <w:pPr>
              <w:rPr>
                <w:sz w:val="24"/>
                <w:szCs w:val="24"/>
              </w:rPr>
            </w:pPr>
            <w:r>
              <w:rPr>
                <w:sz w:val="24"/>
                <w:szCs w:val="24"/>
              </w:rPr>
              <w:t>14</w:t>
            </w:r>
          </w:p>
        </w:tc>
        <w:tc>
          <w:tcPr>
            <w:tcW w:w="3523" w:type="dxa"/>
          </w:tcPr>
          <w:p w:rsidR="00852E86" w:rsidRPr="00852E86" w:rsidRDefault="00B62E66" w:rsidP="007E3F7F">
            <w:pPr>
              <w:rPr>
                <w:sz w:val="24"/>
                <w:szCs w:val="24"/>
              </w:rPr>
            </w:pPr>
            <w:r>
              <w:rPr>
                <w:sz w:val="24"/>
                <w:szCs w:val="24"/>
              </w:rPr>
              <w:t>6 January 2014</w:t>
            </w:r>
          </w:p>
        </w:tc>
        <w:tc>
          <w:tcPr>
            <w:tcW w:w="3710" w:type="dxa"/>
          </w:tcPr>
          <w:p w:rsidR="00852E86" w:rsidRPr="00852E86" w:rsidRDefault="00B62E66" w:rsidP="007E3F7F">
            <w:pPr>
              <w:rPr>
                <w:sz w:val="24"/>
                <w:szCs w:val="24"/>
              </w:rPr>
            </w:pPr>
            <w:r>
              <w:rPr>
                <w:sz w:val="24"/>
                <w:szCs w:val="24"/>
              </w:rPr>
              <w:t>Corporation tax - introduction</w:t>
            </w:r>
          </w:p>
        </w:tc>
        <w:tc>
          <w:tcPr>
            <w:tcW w:w="2939" w:type="dxa"/>
          </w:tcPr>
          <w:p w:rsidR="00852E86" w:rsidRPr="00852E86" w:rsidRDefault="00B62E66" w:rsidP="007E3F7F">
            <w:pPr>
              <w:rPr>
                <w:sz w:val="24"/>
                <w:szCs w:val="24"/>
              </w:rPr>
            </w:pPr>
            <w:r>
              <w:rPr>
                <w:sz w:val="24"/>
                <w:szCs w:val="24"/>
              </w:rPr>
              <w:t>23</w:t>
            </w:r>
          </w:p>
        </w:tc>
      </w:tr>
      <w:tr w:rsidR="00852E86" w:rsidRPr="00852E86">
        <w:tc>
          <w:tcPr>
            <w:tcW w:w="534" w:type="dxa"/>
          </w:tcPr>
          <w:p w:rsidR="00852E86" w:rsidRPr="00852E86" w:rsidRDefault="00B62E66" w:rsidP="007E3F7F">
            <w:pPr>
              <w:rPr>
                <w:sz w:val="24"/>
                <w:szCs w:val="24"/>
              </w:rPr>
            </w:pPr>
            <w:r>
              <w:rPr>
                <w:sz w:val="24"/>
                <w:szCs w:val="24"/>
              </w:rPr>
              <w:t>15</w:t>
            </w:r>
          </w:p>
        </w:tc>
        <w:tc>
          <w:tcPr>
            <w:tcW w:w="3523" w:type="dxa"/>
          </w:tcPr>
          <w:p w:rsidR="00852E86" w:rsidRPr="00852E86" w:rsidRDefault="00B62E66" w:rsidP="007E3F7F">
            <w:pPr>
              <w:rPr>
                <w:sz w:val="24"/>
                <w:szCs w:val="24"/>
              </w:rPr>
            </w:pPr>
            <w:r>
              <w:rPr>
                <w:sz w:val="24"/>
                <w:szCs w:val="24"/>
              </w:rPr>
              <w:t>13 January 2014</w:t>
            </w:r>
          </w:p>
        </w:tc>
        <w:tc>
          <w:tcPr>
            <w:tcW w:w="3710" w:type="dxa"/>
          </w:tcPr>
          <w:p w:rsidR="00852E86" w:rsidRPr="00852E86" w:rsidRDefault="00B62E66" w:rsidP="007E3F7F">
            <w:pPr>
              <w:rPr>
                <w:sz w:val="24"/>
                <w:szCs w:val="24"/>
              </w:rPr>
            </w:pPr>
            <w:r>
              <w:rPr>
                <w:sz w:val="24"/>
                <w:szCs w:val="24"/>
              </w:rPr>
              <w:t>Corporation tax – computation of taxable profits</w:t>
            </w:r>
          </w:p>
        </w:tc>
        <w:tc>
          <w:tcPr>
            <w:tcW w:w="2939" w:type="dxa"/>
          </w:tcPr>
          <w:p w:rsidR="00852E86" w:rsidRPr="00852E86" w:rsidRDefault="00852E86" w:rsidP="007E3F7F">
            <w:pPr>
              <w:rPr>
                <w:sz w:val="24"/>
                <w:szCs w:val="24"/>
              </w:rPr>
            </w:pPr>
          </w:p>
        </w:tc>
      </w:tr>
      <w:tr w:rsidR="00852E86" w:rsidRPr="00852E86">
        <w:tc>
          <w:tcPr>
            <w:tcW w:w="534" w:type="dxa"/>
          </w:tcPr>
          <w:p w:rsidR="00852E86" w:rsidRPr="00852E86" w:rsidRDefault="009057AA" w:rsidP="007E3F7F">
            <w:pPr>
              <w:rPr>
                <w:sz w:val="24"/>
                <w:szCs w:val="24"/>
              </w:rPr>
            </w:pPr>
            <w:r>
              <w:rPr>
                <w:sz w:val="24"/>
                <w:szCs w:val="24"/>
              </w:rPr>
              <w:t>16</w:t>
            </w:r>
          </w:p>
        </w:tc>
        <w:tc>
          <w:tcPr>
            <w:tcW w:w="3523" w:type="dxa"/>
          </w:tcPr>
          <w:p w:rsidR="00852E86" w:rsidRPr="00852E86" w:rsidRDefault="009057AA" w:rsidP="007E3F7F">
            <w:pPr>
              <w:rPr>
                <w:sz w:val="24"/>
                <w:szCs w:val="24"/>
              </w:rPr>
            </w:pPr>
            <w:r>
              <w:rPr>
                <w:sz w:val="24"/>
                <w:szCs w:val="24"/>
              </w:rPr>
              <w:t>20 January 2014</w:t>
            </w:r>
          </w:p>
        </w:tc>
        <w:tc>
          <w:tcPr>
            <w:tcW w:w="3710" w:type="dxa"/>
          </w:tcPr>
          <w:p w:rsidR="00852E86" w:rsidRPr="00852E86" w:rsidRDefault="009057AA" w:rsidP="007E3F7F">
            <w:pPr>
              <w:rPr>
                <w:sz w:val="24"/>
                <w:szCs w:val="24"/>
              </w:rPr>
            </w:pPr>
            <w:r>
              <w:rPr>
                <w:sz w:val="24"/>
                <w:szCs w:val="24"/>
              </w:rPr>
              <w:t>Corporation tax – rates, reliefs and investment income</w:t>
            </w:r>
          </w:p>
        </w:tc>
        <w:tc>
          <w:tcPr>
            <w:tcW w:w="2939" w:type="dxa"/>
          </w:tcPr>
          <w:p w:rsidR="00852E86" w:rsidRPr="00852E86" w:rsidRDefault="009057AA" w:rsidP="007E3F7F">
            <w:pPr>
              <w:rPr>
                <w:sz w:val="24"/>
                <w:szCs w:val="24"/>
              </w:rPr>
            </w:pPr>
            <w:r>
              <w:rPr>
                <w:sz w:val="24"/>
                <w:szCs w:val="24"/>
              </w:rPr>
              <w:t>2</w:t>
            </w:r>
            <w:r w:rsidR="00097057">
              <w:rPr>
                <w:sz w:val="24"/>
                <w:szCs w:val="24"/>
              </w:rPr>
              <w:t xml:space="preserve">5, </w:t>
            </w:r>
            <w:r>
              <w:rPr>
                <w:sz w:val="24"/>
                <w:szCs w:val="24"/>
              </w:rPr>
              <w:t>27</w:t>
            </w:r>
          </w:p>
        </w:tc>
      </w:tr>
      <w:tr w:rsidR="00852E86" w:rsidRPr="00852E86">
        <w:tc>
          <w:tcPr>
            <w:tcW w:w="534" w:type="dxa"/>
          </w:tcPr>
          <w:p w:rsidR="00852E86" w:rsidRPr="00852E86" w:rsidRDefault="00097057" w:rsidP="007E3F7F">
            <w:pPr>
              <w:rPr>
                <w:sz w:val="24"/>
                <w:szCs w:val="24"/>
              </w:rPr>
            </w:pPr>
            <w:r>
              <w:rPr>
                <w:sz w:val="24"/>
                <w:szCs w:val="24"/>
              </w:rPr>
              <w:t>17</w:t>
            </w:r>
          </w:p>
        </w:tc>
        <w:tc>
          <w:tcPr>
            <w:tcW w:w="3523" w:type="dxa"/>
          </w:tcPr>
          <w:p w:rsidR="00852E86" w:rsidRPr="00852E86" w:rsidRDefault="00097057" w:rsidP="007E3F7F">
            <w:pPr>
              <w:rPr>
                <w:sz w:val="24"/>
                <w:szCs w:val="24"/>
              </w:rPr>
            </w:pPr>
            <w:r>
              <w:rPr>
                <w:sz w:val="24"/>
                <w:szCs w:val="24"/>
              </w:rPr>
              <w:t>27 January 2014</w:t>
            </w:r>
          </w:p>
        </w:tc>
        <w:tc>
          <w:tcPr>
            <w:tcW w:w="3710" w:type="dxa"/>
          </w:tcPr>
          <w:p w:rsidR="00852E86" w:rsidRPr="00852E86" w:rsidRDefault="00097057" w:rsidP="007E3F7F">
            <w:pPr>
              <w:rPr>
                <w:sz w:val="24"/>
                <w:szCs w:val="24"/>
              </w:rPr>
            </w:pPr>
            <w:r>
              <w:rPr>
                <w:sz w:val="24"/>
                <w:szCs w:val="24"/>
              </w:rPr>
              <w:t>Corporation tax – losses and tax planning</w:t>
            </w:r>
          </w:p>
        </w:tc>
        <w:tc>
          <w:tcPr>
            <w:tcW w:w="2939" w:type="dxa"/>
          </w:tcPr>
          <w:p w:rsidR="00852E86" w:rsidRPr="00852E86" w:rsidRDefault="00097057" w:rsidP="007E3F7F">
            <w:pPr>
              <w:rPr>
                <w:sz w:val="24"/>
                <w:szCs w:val="24"/>
              </w:rPr>
            </w:pPr>
            <w:r>
              <w:rPr>
                <w:sz w:val="24"/>
                <w:szCs w:val="24"/>
              </w:rPr>
              <w:t>26, 28</w:t>
            </w:r>
          </w:p>
        </w:tc>
      </w:tr>
      <w:tr w:rsidR="00852E86" w:rsidRPr="00852E86">
        <w:tc>
          <w:tcPr>
            <w:tcW w:w="534" w:type="dxa"/>
          </w:tcPr>
          <w:p w:rsidR="00852E86" w:rsidRPr="00852E86" w:rsidRDefault="00097057" w:rsidP="007E3F7F">
            <w:pPr>
              <w:rPr>
                <w:sz w:val="24"/>
                <w:szCs w:val="24"/>
              </w:rPr>
            </w:pPr>
            <w:r>
              <w:rPr>
                <w:sz w:val="24"/>
                <w:szCs w:val="24"/>
              </w:rPr>
              <w:t>18</w:t>
            </w:r>
          </w:p>
        </w:tc>
        <w:tc>
          <w:tcPr>
            <w:tcW w:w="3523" w:type="dxa"/>
          </w:tcPr>
          <w:p w:rsidR="00852E86" w:rsidRPr="00852E86" w:rsidRDefault="00097057" w:rsidP="007E3F7F">
            <w:pPr>
              <w:rPr>
                <w:sz w:val="24"/>
                <w:szCs w:val="24"/>
              </w:rPr>
            </w:pPr>
            <w:r>
              <w:rPr>
                <w:sz w:val="24"/>
                <w:szCs w:val="24"/>
              </w:rPr>
              <w:t>3 February 2104</w:t>
            </w:r>
          </w:p>
        </w:tc>
        <w:tc>
          <w:tcPr>
            <w:tcW w:w="3710" w:type="dxa"/>
          </w:tcPr>
          <w:p w:rsidR="00852E86" w:rsidRPr="00852E86" w:rsidRDefault="00097057" w:rsidP="007E3F7F">
            <w:pPr>
              <w:rPr>
                <w:sz w:val="24"/>
                <w:szCs w:val="24"/>
              </w:rPr>
            </w:pPr>
            <w:r>
              <w:rPr>
                <w:sz w:val="24"/>
                <w:szCs w:val="24"/>
              </w:rPr>
              <w:t>Capital gains tax – basic principles</w:t>
            </w:r>
          </w:p>
        </w:tc>
        <w:tc>
          <w:tcPr>
            <w:tcW w:w="2939" w:type="dxa"/>
          </w:tcPr>
          <w:p w:rsidR="00852E86" w:rsidRPr="00852E86" w:rsidRDefault="00097057" w:rsidP="007E3F7F">
            <w:pPr>
              <w:rPr>
                <w:sz w:val="24"/>
                <w:szCs w:val="24"/>
              </w:rPr>
            </w:pPr>
            <w:r>
              <w:rPr>
                <w:sz w:val="24"/>
                <w:szCs w:val="24"/>
              </w:rPr>
              <w:t>17, 18</w:t>
            </w:r>
          </w:p>
        </w:tc>
      </w:tr>
      <w:tr w:rsidR="00852E86" w:rsidRPr="00852E86">
        <w:tc>
          <w:tcPr>
            <w:tcW w:w="534" w:type="dxa"/>
          </w:tcPr>
          <w:p w:rsidR="00852E86" w:rsidRPr="00852E86" w:rsidRDefault="00097057" w:rsidP="007E3F7F">
            <w:pPr>
              <w:rPr>
                <w:sz w:val="24"/>
                <w:szCs w:val="24"/>
              </w:rPr>
            </w:pPr>
            <w:r>
              <w:rPr>
                <w:sz w:val="24"/>
                <w:szCs w:val="24"/>
              </w:rPr>
              <w:t>19</w:t>
            </w:r>
          </w:p>
        </w:tc>
        <w:tc>
          <w:tcPr>
            <w:tcW w:w="3523" w:type="dxa"/>
          </w:tcPr>
          <w:p w:rsidR="00852E86" w:rsidRPr="00852E86" w:rsidRDefault="00097057" w:rsidP="007E3F7F">
            <w:pPr>
              <w:rPr>
                <w:sz w:val="24"/>
                <w:szCs w:val="24"/>
              </w:rPr>
            </w:pPr>
            <w:r>
              <w:rPr>
                <w:sz w:val="24"/>
                <w:szCs w:val="24"/>
              </w:rPr>
              <w:t>10 February 2014</w:t>
            </w:r>
          </w:p>
        </w:tc>
        <w:tc>
          <w:tcPr>
            <w:tcW w:w="3710" w:type="dxa"/>
          </w:tcPr>
          <w:p w:rsidR="00852E86" w:rsidRPr="00852E86" w:rsidRDefault="00097057" w:rsidP="007E3F7F">
            <w:pPr>
              <w:rPr>
                <w:sz w:val="24"/>
                <w:szCs w:val="24"/>
              </w:rPr>
            </w:pPr>
            <w:r>
              <w:rPr>
                <w:sz w:val="24"/>
                <w:szCs w:val="24"/>
              </w:rPr>
              <w:t>Capital gains tax – further issues</w:t>
            </w:r>
          </w:p>
        </w:tc>
        <w:tc>
          <w:tcPr>
            <w:tcW w:w="2939" w:type="dxa"/>
          </w:tcPr>
          <w:p w:rsidR="00852E86" w:rsidRPr="00852E86" w:rsidRDefault="00097057" w:rsidP="007E3F7F">
            <w:pPr>
              <w:rPr>
                <w:sz w:val="24"/>
                <w:szCs w:val="24"/>
              </w:rPr>
            </w:pPr>
            <w:r>
              <w:rPr>
                <w:sz w:val="24"/>
                <w:szCs w:val="24"/>
              </w:rPr>
              <w:t>19, 20, 21</w:t>
            </w:r>
          </w:p>
        </w:tc>
      </w:tr>
      <w:tr w:rsidR="00852E86">
        <w:tc>
          <w:tcPr>
            <w:tcW w:w="534" w:type="dxa"/>
          </w:tcPr>
          <w:p w:rsidR="00852E86" w:rsidRDefault="00097057" w:rsidP="007E3F7F">
            <w:pPr>
              <w:rPr>
                <w:sz w:val="24"/>
                <w:szCs w:val="24"/>
                <w:highlight w:val="yellow"/>
              </w:rPr>
            </w:pPr>
            <w:r>
              <w:rPr>
                <w:sz w:val="24"/>
                <w:szCs w:val="24"/>
                <w:highlight w:val="yellow"/>
              </w:rPr>
              <w:t>**</w:t>
            </w:r>
          </w:p>
        </w:tc>
        <w:tc>
          <w:tcPr>
            <w:tcW w:w="3523" w:type="dxa"/>
          </w:tcPr>
          <w:p w:rsidR="00852E86" w:rsidRDefault="00097057" w:rsidP="007E3F7F">
            <w:pPr>
              <w:rPr>
                <w:sz w:val="24"/>
                <w:szCs w:val="24"/>
                <w:highlight w:val="yellow"/>
              </w:rPr>
            </w:pPr>
            <w:r>
              <w:rPr>
                <w:sz w:val="24"/>
                <w:szCs w:val="24"/>
                <w:highlight w:val="yellow"/>
              </w:rPr>
              <w:t>13 February 2014</w:t>
            </w:r>
          </w:p>
        </w:tc>
        <w:tc>
          <w:tcPr>
            <w:tcW w:w="3710" w:type="dxa"/>
          </w:tcPr>
          <w:p w:rsidR="00852E86" w:rsidRDefault="00097057" w:rsidP="007E3F7F">
            <w:pPr>
              <w:rPr>
                <w:sz w:val="24"/>
                <w:szCs w:val="24"/>
                <w:highlight w:val="yellow"/>
              </w:rPr>
            </w:pPr>
            <w:r>
              <w:rPr>
                <w:sz w:val="24"/>
                <w:szCs w:val="24"/>
                <w:highlight w:val="yellow"/>
              </w:rPr>
              <w:t>Date of submission of coursework</w:t>
            </w:r>
          </w:p>
        </w:tc>
        <w:tc>
          <w:tcPr>
            <w:tcW w:w="2939" w:type="dxa"/>
          </w:tcPr>
          <w:p w:rsidR="00852E86" w:rsidRDefault="00852E86" w:rsidP="007E3F7F">
            <w:pPr>
              <w:rPr>
                <w:sz w:val="24"/>
                <w:szCs w:val="24"/>
                <w:highlight w:val="yellow"/>
              </w:rPr>
            </w:pPr>
          </w:p>
        </w:tc>
      </w:tr>
      <w:tr w:rsidR="00852E86">
        <w:tc>
          <w:tcPr>
            <w:tcW w:w="534" w:type="dxa"/>
          </w:tcPr>
          <w:p w:rsidR="00852E86" w:rsidRDefault="00097057" w:rsidP="007E3F7F">
            <w:pPr>
              <w:rPr>
                <w:sz w:val="24"/>
                <w:szCs w:val="24"/>
                <w:highlight w:val="yellow"/>
              </w:rPr>
            </w:pPr>
            <w:r>
              <w:rPr>
                <w:sz w:val="24"/>
                <w:szCs w:val="24"/>
                <w:highlight w:val="yellow"/>
              </w:rPr>
              <w:t>**</w:t>
            </w:r>
          </w:p>
        </w:tc>
        <w:tc>
          <w:tcPr>
            <w:tcW w:w="3523" w:type="dxa"/>
          </w:tcPr>
          <w:p w:rsidR="00852E86" w:rsidRDefault="00097057" w:rsidP="007E3F7F">
            <w:pPr>
              <w:rPr>
                <w:sz w:val="24"/>
                <w:szCs w:val="24"/>
                <w:highlight w:val="yellow"/>
              </w:rPr>
            </w:pPr>
            <w:r>
              <w:rPr>
                <w:sz w:val="24"/>
                <w:szCs w:val="24"/>
                <w:highlight w:val="yellow"/>
              </w:rPr>
              <w:t>17 February 2014</w:t>
            </w:r>
          </w:p>
        </w:tc>
        <w:tc>
          <w:tcPr>
            <w:tcW w:w="3710" w:type="dxa"/>
          </w:tcPr>
          <w:p w:rsidR="00852E86" w:rsidRDefault="00A571F0" w:rsidP="007E3F7F">
            <w:pPr>
              <w:rPr>
                <w:sz w:val="24"/>
                <w:szCs w:val="24"/>
                <w:highlight w:val="yellow"/>
              </w:rPr>
            </w:pPr>
            <w:r>
              <w:rPr>
                <w:sz w:val="24"/>
                <w:szCs w:val="24"/>
                <w:highlight w:val="yellow"/>
              </w:rPr>
              <w:t xml:space="preserve">Activity </w:t>
            </w:r>
            <w:r w:rsidR="00097057">
              <w:rPr>
                <w:sz w:val="24"/>
                <w:szCs w:val="24"/>
                <w:highlight w:val="yellow"/>
              </w:rPr>
              <w:t>week</w:t>
            </w:r>
          </w:p>
        </w:tc>
        <w:tc>
          <w:tcPr>
            <w:tcW w:w="2939" w:type="dxa"/>
          </w:tcPr>
          <w:p w:rsidR="00852E86" w:rsidRDefault="00852E86" w:rsidP="007E3F7F">
            <w:pPr>
              <w:rPr>
                <w:sz w:val="24"/>
                <w:szCs w:val="24"/>
                <w:highlight w:val="yellow"/>
              </w:rPr>
            </w:pPr>
          </w:p>
        </w:tc>
      </w:tr>
      <w:tr w:rsidR="00852E86" w:rsidRPr="00097057">
        <w:tc>
          <w:tcPr>
            <w:tcW w:w="534" w:type="dxa"/>
          </w:tcPr>
          <w:p w:rsidR="00852E86" w:rsidRPr="00097057" w:rsidRDefault="00097057" w:rsidP="007E3F7F">
            <w:pPr>
              <w:rPr>
                <w:sz w:val="24"/>
                <w:szCs w:val="24"/>
              </w:rPr>
            </w:pPr>
            <w:r>
              <w:rPr>
                <w:sz w:val="24"/>
                <w:szCs w:val="24"/>
              </w:rPr>
              <w:t>20</w:t>
            </w:r>
          </w:p>
        </w:tc>
        <w:tc>
          <w:tcPr>
            <w:tcW w:w="3523" w:type="dxa"/>
          </w:tcPr>
          <w:p w:rsidR="00852E86" w:rsidRPr="00097057" w:rsidRDefault="00097057" w:rsidP="007E3F7F">
            <w:pPr>
              <w:rPr>
                <w:sz w:val="24"/>
                <w:szCs w:val="24"/>
              </w:rPr>
            </w:pPr>
            <w:r>
              <w:rPr>
                <w:sz w:val="24"/>
                <w:szCs w:val="24"/>
              </w:rPr>
              <w:t>24 February 2014</w:t>
            </w:r>
          </w:p>
        </w:tc>
        <w:tc>
          <w:tcPr>
            <w:tcW w:w="3710" w:type="dxa"/>
          </w:tcPr>
          <w:p w:rsidR="00852E86" w:rsidRPr="00097057" w:rsidRDefault="00097057" w:rsidP="007E3F7F">
            <w:pPr>
              <w:rPr>
                <w:sz w:val="24"/>
                <w:szCs w:val="24"/>
              </w:rPr>
            </w:pPr>
            <w:r>
              <w:rPr>
                <w:sz w:val="24"/>
                <w:szCs w:val="24"/>
              </w:rPr>
              <w:t>Capital gains tax – gains of companies and business reliefs</w:t>
            </w:r>
          </w:p>
        </w:tc>
        <w:tc>
          <w:tcPr>
            <w:tcW w:w="2939" w:type="dxa"/>
          </w:tcPr>
          <w:p w:rsidR="00852E86" w:rsidRPr="00097057" w:rsidRDefault="00097057" w:rsidP="007E3F7F">
            <w:pPr>
              <w:rPr>
                <w:sz w:val="24"/>
                <w:szCs w:val="24"/>
              </w:rPr>
            </w:pPr>
            <w:r>
              <w:rPr>
                <w:sz w:val="24"/>
                <w:szCs w:val="24"/>
              </w:rPr>
              <w:t>22, 24, 28</w:t>
            </w:r>
          </w:p>
        </w:tc>
      </w:tr>
      <w:tr w:rsidR="00852E86" w:rsidRPr="00097057">
        <w:tc>
          <w:tcPr>
            <w:tcW w:w="534" w:type="dxa"/>
          </w:tcPr>
          <w:p w:rsidR="00852E86" w:rsidRPr="00097057" w:rsidRDefault="00097057" w:rsidP="007E3F7F">
            <w:pPr>
              <w:rPr>
                <w:sz w:val="24"/>
                <w:szCs w:val="24"/>
              </w:rPr>
            </w:pPr>
            <w:r>
              <w:rPr>
                <w:sz w:val="24"/>
                <w:szCs w:val="24"/>
              </w:rPr>
              <w:t>21</w:t>
            </w:r>
          </w:p>
        </w:tc>
        <w:tc>
          <w:tcPr>
            <w:tcW w:w="3523" w:type="dxa"/>
          </w:tcPr>
          <w:p w:rsidR="00852E86" w:rsidRPr="00097057" w:rsidRDefault="00097057" w:rsidP="007E3F7F">
            <w:pPr>
              <w:rPr>
                <w:sz w:val="24"/>
                <w:szCs w:val="24"/>
              </w:rPr>
            </w:pPr>
            <w:r>
              <w:rPr>
                <w:sz w:val="24"/>
                <w:szCs w:val="24"/>
              </w:rPr>
              <w:t>3 March 2014</w:t>
            </w:r>
          </w:p>
        </w:tc>
        <w:tc>
          <w:tcPr>
            <w:tcW w:w="3710" w:type="dxa"/>
          </w:tcPr>
          <w:p w:rsidR="00852E86" w:rsidRPr="00097057" w:rsidRDefault="00097057" w:rsidP="007E3F7F">
            <w:pPr>
              <w:rPr>
                <w:sz w:val="24"/>
                <w:szCs w:val="24"/>
              </w:rPr>
            </w:pPr>
            <w:r>
              <w:rPr>
                <w:sz w:val="24"/>
                <w:szCs w:val="24"/>
              </w:rPr>
              <w:t>Value added tax - 1</w:t>
            </w:r>
          </w:p>
        </w:tc>
        <w:tc>
          <w:tcPr>
            <w:tcW w:w="2939" w:type="dxa"/>
          </w:tcPr>
          <w:p w:rsidR="00852E86" w:rsidRPr="00097057" w:rsidRDefault="00097057" w:rsidP="007E3F7F">
            <w:pPr>
              <w:rPr>
                <w:sz w:val="24"/>
                <w:szCs w:val="24"/>
              </w:rPr>
            </w:pPr>
            <w:r>
              <w:rPr>
                <w:sz w:val="24"/>
                <w:szCs w:val="24"/>
              </w:rPr>
              <w:t>29</w:t>
            </w:r>
          </w:p>
        </w:tc>
      </w:tr>
      <w:tr w:rsidR="00852E86" w:rsidRPr="00097057">
        <w:tc>
          <w:tcPr>
            <w:tcW w:w="534" w:type="dxa"/>
          </w:tcPr>
          <w:p w:rsidR="00852E86" w:rsidRPr="00097057" w:rsidRDefault="00097057" w:rsidP="007E3F7F">
            <w:pPr>
              <w:rPr>
                <w:sz w:val="24"/>
                <w:szCs w:val="24"/>
              </w:rPr>
            </w:pPr>
            <w:r>
              <w:rPr>
                <w:sz w:val="24"/>
                <w:szCs w:val="24"/>
              </w:rPr>
              <w:t>22</w:t>
            </w:r>
          </w:p>
        </w:tc>
        <w:tc>
          <w:tcPr>
            <w:tcW w:w="3523" w:type="dxa"/>
          </w:tcPr>
          <w:p w:rsidR="00852E86" w:rsidRPr="00097057" w:rsidRDefault="00097057" w:rsidP="007E3F7F">
            <w:pPr>
              <w:rPr>
                <w:sz w:val="24"/>
                <w:szCs w:val="24"/>
              </w:rPr>
            </w:pPr>
            <w:r>
              <w:rPr>
                <w:sz w:val="24"/>
                <w:szCs w:val="24"/>
              </w:rPr>
              <w:t>10 March 2014</w:t>
            </w:r>
          </w:p>
        </w:tc>
        <w:tc>
          <w:tcPr>
            <w:tcW w:w="3710" w:type="dxa"/>
          </w:tcPr>
          <w:p w:rsidR="00852E86" w:rsidRPr="00097057" w:rsidRDefault="00097057" w:rsidP="007E3F7F">
            <w:pPr>
              <w:rPr>
                <w:sz w:val="24"/>
                <w:szCs w:val="24"/>
              </w:rPr>
            </w:pPr>
            <w:r>
              <w:rPr>
                <w:sz w:val="24"/>
                <w:szCs w:val="24"/>
              </w:rPr>
              <w:t>Value added tax - 2</w:t>
            </w:r>
          </w:p>
        </w:tc>
        <w:tc>
          <w:tcPr>
            <w:tcW w:w="2939" w:type="dxa"/>
          </w:tcPr>
          <w:p w:rsidR="00852E86" w:rsidRPr="00097057" w:rsidRDefault="00097057" w:rsidP="007E3F7F">
            <w:pPr>
              <w:rPr>
                <w:sz w:val="24"/>
                <w:szCs w:val="24"/>
              </w:rPr>
            </w:pPr>
            <w:r>
              <w:rPr>
                <w:sz w:val="24"/>
                <w:szCs w:val="24"/>
              </w:rPr>
              <w:t>30</w:t>
            </w:r>
          </w:p>
        </w:tc>
      </w:tr>
      <w:tr w:rsidR="00852E86" w:rsidRPr="00097057">
        <w:tc>
          <w:tcPr>
            <w:tcW w:w="534" w:type="dxa"/>
          </w:tcPr>
          <w:p w:rsidR="00852E86" w:rsidRPr="00097057" w:rsidRDefault="00097057" w:rsidP="007E3F7F">
            <w:pPr>
              <w:rPr>
                <w:sz w:val="24"/>
                <w:szCs w:val="24"/>
              </w:rPr>
            </w:pPr>
            <w:r>
              <w:rPr>
                <w:sz w:val="24"/>
                <w:szCs w:val="24"/>
              </w:rPr>
              <w:t>23</w:t>
            </w:r>
          </w:p>
        </w:tc>
        <w:tc>
          <w:tcPr>
            <w:tcW w:w="3523" w:type="dxa"/>
          </w:tcPr>
          <w:p w:rsidR="00852E86" w:rsidRPr="00097057" w:rsidRDefault="00097057" w:rsidP="007E3F7F">
            <w:pPr>
              <w:rPr>
                <w:sz w:val="24"/>
                <w:szCs w:val="24"/>
              </w:rPr>
            </w:pPr>
            <w:r>
              <w:rPr>
                <w:sz w:val="24"/>
                <w:szCs w:val="24"/>
              </w:rPr>
              <w:t>17 March 2014</w:t>
            </w:r>
          </w:p>
        </w:tc>
        <w:tc>
          <w:tcPr>
            <w:tcW w:w="3710" w:type="dxa"/>
          </w:tcPr>
          <w:p w:rsidR="00852E86" w:rsidRPr="00097057" w:rsidRDefault="00097057" w:rsidP="007E3F7F">
            <w:pPr>
              <w:rPr>
                <w:sz w:val="24"/>
                <w:szCs w:val="24"/>
              </w:rPr>
            </w:pPr>
            <w:r>
              <w:rPr>
                <w:sz w:val="24"/>
                <w:szCs w:val="24"/>
              </w:rPr>
              <w:t>Revision – income tax</w:t>
            </w:r>
          </w:p>
        </w:tc>
        <w:tc>
          <w:tcPr>
            <w:tcW w:w="2939" w:type="dxa"/>
          </w:tcPr>
          <w:p w:rsidR="00852E86" w:rsidRPr="00097057" w:rsidRDefault="00852E86" w:rsidP="007E3F7F">
            <w:pPr>
              <w:rPr>
                <w:sz w:val="24"/>
                <w:szCs w:val="24"/>
              </w:rPr>
            </w:pPr>
          </w:p>
        </w:tc>
      </w:tr>
      <w:tr w:rsidR="00852E86" w:rsidRPr="00097057">
        <w:tc>
          <w:tcPr>
            <w:tcW w:w="534" w:type="dxa"/>
          </w:tcPr>
          <w:p w:rsidR="00852E86" w:rsidRPr="00097057" w:rsidRDefault="00097057" w:rsidP="007E3F7F">
            <w:pPr>
              <w:rPr>
                <w:sz w:val="24"/>
                <w:szCs w:val="24"/>
              </w:rPr>
            </w:pPr>
            <w:r>
              <w:rPr>
                <w:sz w:val="24"/>
                <w:szCs w:val="24"/>
              </w:rPr>
              <w:t>24</w:t>
            </w:r>
          </w:p>
        </w:tc>
        <w:tc>
          <w:tcPr>
            <w:tcW w:w="3523" w:type="dxa"/>
          </w:tcPr>
          <w:p w:rsidR="00852E86" w:rsidRPr="00097057" w:rsidRDefault="00097057" w:rsidP="007E3F7F">
            <w:pPr>
              <w:rPr>
                <w:sz w:val="24"/>
                <w:szCs w:val="24"/>
              </w:rPr>
            </w:pPr>
            <w:r>
              <w:rPr>
                <w:sz w:val="24"/>
                <w:szCs w:val="24"/>
              </w:rPr>
              <w:t>24 March 2014</w:t>
            </w:r>
          </w:p>
        </w:tc>
        <w:tc>
          <w:tcPr>
            <w:tcW w:w="3710" w:type="dxa"/>
          </w:tcPr>
          <w:p w:rsidR="00852E86" w:rsidRPr="00097057" w:rsidRDefault="00097057" w:rsidP="007E3F7F">
            <w:pPr>
              <w:rPr>
                <w:sz w:val="24"/>
                <w:szCs w:val="24"/>
              </w:rPr>
            </w:pPr>
            <w:r>
              <w:rPr>
                <w:sz w:val="24"/>
                <w:szCs w:val="24"/>
              </w:rPr>
              <w:t>Revision – corporation tax and capital gains tax</w:t>
            </w:r>
          </w:p>
        </w:tc>
        <w:tc>
          <w:tcPr>
            <w:tcW w:w="2939" w:type="dxa"/>
          </w:tcPr>
          <w:p w:rsidR="00852E86" w:rsidRPr="00097057" w:rsidRDefault="00852E86" w:rsidP="007E3F7F">
            <w:pPr>
              <w:rPr>
                <w:sz w:val="24"/>
                <w:szCs w:val="24"/>
              </w:rPr>
            </w:pPr>
          </w:p>
        </w:tc>
      </w:tr>
      <w:tr w:rsidR="00852E86" w:rsidRPr="00097057">
        <w:tc>
          <w:tcPr>
            <w:tcW w:w="534" w:type="dxa"/>
          </w:tcPr>
          <w:p w:rsidR="00852E86" w:rsidRPr="00097057" w:rsidRDefault="00097057" w:rsidP="007E3F7F">
            <w:pPr>
              <w:rPr>
                <w:sz w:val="24"/>
                <w:szCs w:val="24"/>
              </w:rPr>
            </w:pPr>
            <w:r>
              <w:rPr>
                <w:sz w:val="24"/>
                <w:szCs w:val="24"/>
              </w:rPr>
              <w:t>25</w:t>
            </w:r>
          </w:p>
        </w:tc>
        <w:tc>
          <w:tcPr>
            <w:tcW w:w="3523" w:type="dxa"/>
          </w:tcPr>
          <w:p w:rsidR="00852E86" w:rsidRPr="00097057" w:rsidRDefault="00097057" w:rsidP="007E3F7F">
            <w:pPr>
              <w:rPr>
                <w:sz w:val="24"/>
                <w:szCs w:val="24"/>
              </w:rPr>
            </w:pPr>
            <w:r>
              <w:rPr>
                <w:sz w:val="24"/>
                <w:szCs w:val="24"/>
              </w:rPr>
              <w:t>31 March 2014</w:t>
            </w:r>
          </w:p>
        </w:tc>
        <w:tc>
          <w:tcPr>
            <w:tcW w:w="3710" w:type="dxa"/>
          </w:tcPr>
          <w:p w:rsidR="00852E86" w:rsidRPr="00097057" w:rsidRDefault="00097057" w:rsidP="007E3F7F">
            <w:pPr>
              <w:rPr>
                <w:sz w:val="24"/>
                <w:szCs w:val="24"/>
              </w:rPr>
            </w:pPr>
            <w:r>
              <w:rPr>
                <w:sz w:val="24"/>
                <w:szCs w:val="24"/>
              </w:rPr>
              <w:t>Revision – income tax and national insurance</w:t>
            </w:r>
          </w:p>
        </w:tc>
        <w:tc>
          <w:tcPr>
            <w:tcW w:w="2939" w:type="dxa"/>
          </w:tcPr>
          <w:p w:rsidR="00852E86" w:rsidRPr="00097057" w:rsidRDefault="00852E86" w:rsidP="007E3F7F">
            <w:pPr>
              <w:rPr>
                <w:sz w:val="24"/>
                <w:szCs w:val="24"/>
              </w:rPr>
            </w:pPr>
          </w:p>
        </w:tc>
      </w:tr>
      <w:tr w:rsidR="00852E86" w:rsidRPr="00097057">
        <w:tc>
          <w:tcPr>
            <w:tcW w:w="534" w:type="dxa"/>
          </w:tcPr>
          <w:p w:rsidR="00852E86" w:rsidRPr="00097057" w:rsidRDefault="00097057" w:rsidP="007E3F7F">
            <w:pPr>
              <w:rPr>
                <w:sz w:val="24"/>
                <w:szCs w:val="24"/>
              </w:rPr>
            </w:pPr>
            <w:r>
              <w:rPr>
                <w:sz w:val="24"/>
                <w:szCs w:val="24"/>
              </w:rPr>
              <w:t>26</w:t>
            </w:r>
          </w:p>
        </w:tc>
        <w:tc>
          <w:tcPr>
            <w:tcW w:w="3523" w:type="dxa"/>
          </w:tcPr>
          <w:p w:rsidR="00852E86" w:rsidRPr="00097057" w:rsidRDefault="00097057" w:rsidP="007E3F7F">
            <w:pPr>
              <w:rPr>
                <w:sz w:val="24"/>
                <w:szCs w:val="24"/>
              </w:rPr>
            </w:pPr>
            <w:r>
              <w:rPr>
                <w:sz w:val="24"/>
                <w:szCs w:val="24"/>
              </w:rPr>
              <w:t>7 April 2014</w:t>
            </w:r>
          </w:p>
        </w:tc>
        <w:tc>
          <w:tcPr>
            <w:tcW w:w="3710" w:type="dxa"/>
          </w:tcPr>
          <w:p w:rsidR="00852E86" w:rsidRPr="00097057" w:rsidRDefault="00097057" w:rsidP="007E3F7F">
            <w:pPr>
              <w:rPr>
                <w:sz w:val="24"/>
                <w:szCs w:val="24"/>
              </w:rPr>
            </w:pPr>
            <w:r>
              <w:rPr>
                <w:sz w:val="24"/>
                <w:szCs w:val="24"/>
              </w:rPr>
              <w:t>Revision – corporation tax and capital gains tax</w:t>
            </w:r>
          </w:p>
        </w:tc>
        <w:tc>
          <w:tcPr>
            <w:tcW w:w="2939" w:type="dxa"/>
          </w:tcPr>
          <w:p w:rsidR="00852E86" w:rsidRPr="00097057" w:rsidRDefault="00852E86" w:rsidP="007E3F7F">
            <w:pPr>
              <w:rPr>
                <w:sz w:val="24"/>
                <w:szCs w:val="24"/>
              </w:rPr>
            </w:pPr>
          </w:p>
        </w:tc>
      </w:tr>
    </w:tbl>
    <w:p w:rsidR="007E3F7F" w:rsidRPr="00097057" w:rsidRDefault="007E3F7F" w:rsidP="007E3F7F">
      <w:pPr>
        <w:rPr>
          <w:sz w:val="24"/>
          <w:szCs w:val="24"/>
        </w:rPr>
      </w:pPr>
    </w:p>
    <w:p w:rsidR="00EC7B42" w:rsidRDefault="00EC7B42" w:rsidP="007E3F7F">
      <w:pPr>
        <w:rPr>
          <w:i/>
        </w:rPr>
      </w:pPr>
    </w:p>
    <w:p w:rsidR="00EC7B42" w:rsidRDefault="00EC7B42" w:rsidP="007E3F7F">
      <w:pPr>
        <w:rPr>
          <w:i/>
        </w:rPr>
        <w:sectPr w:rsidR="00EC7B42">
          <w:type w:val="continuous"/>
          <w:pgSz w:w="11906" w:h="16838"/>
          <w:pgMar w:top="851" w:right="707" w:bottom="993" w:left="709" w:header="708" w:footer="708" w:gutter="0"/>
          <w:cols w:space="708"/>
          <w:formProt w:val="0"/>
          <w:docGrid w:linePitch="360"/>
        </w:sectPr>
      </w:pPr>
    </w:p>
    <w:p w:rsidR="007E3F7F" w:rsidRDefault="007E3F7F" w:rsidP="007E3F7F">
      <w:pPr>
        <w:rPr>
          <w:i/>
        </w:rPr>
      </w:pPr>
    </w:p>
    <w:p w:rsidR="007E3F7F" w:rsidRDefault="007E3F7F" w:rsidP="007E3F7F">
      <w:pPr>
        <w:rPr>
          <w:i/>
        </w:rPr>
      </w:pPr>
      <w:r>
        <w:rPr>
          <w:i/>
        </w:rPr>
        <w:br w:type="page"/>
      </w:r>
    </w:p>
    <w:p w:rsidR="007E3F7F" w:rsidRDefault="007E3F7F" w:rsidP="007E3F7F">
      <w:pPr>
        <w:pStyle w:val="Heading1"/>
      </w:pPr>
      <w:bookmarkStart w:id="3" w:name="_Toc346274259"/>
      <w:r>
        <w:lastRenderedPageBreak/>
        <w:t>Timetable</w:t>
      </w:r>
      <w:bookmarkEnd w:id="3"/>
    </w:p>
    <w:p w:rsidR="007E3F7F" w:rsidRDefault="007E3F7F" w:rsidP="007E3F7F"/>
    <w:p w:rsidR="007E3F7F" w:rsidRDefault="007E3F7F" w:rsidP="007E3F7F">
      <w:pPr>
        <w:sectPr w:rsidR="007E3F7F">
          <w:type w:val="continuous"/>
          <w:pgSz w:w="11906" w:h="16838"/>
          <w:pgMar w:top="851" w:right="707" w:bottom="993" w:left="709" w:header="708" w:footer="708" w:gutter="0"/>
          <w:cols w:space="708"/>
          <w:docGrid w:linePitch="360"/>
        </w:sectPr>
      </w:pPr>
    </w:p>
    <w:p w:rsidR="00EC7B42" w:rsidRDefault="004A19B2" w:rsidP="007E3F7F">
      <w:pPr>
        <w:rPr>
          <w:sz w:val="24"/>
          <w:szCs w:val="24"/>
        </w:rPr>
      </w:pPr>
      <w:r>
        <w:rPr>
          <w:sz w:val="24"/>
          <w:szCs w:val="24"/>
        </w:rPr>
        <w:lastRenderedPageBreak/>
        <w:t xml:space="preserve">The module timetable is available at </w:t>
      </w:r>
      <w:hyperlink r:id="rId12" w:history="1">
        <w:r w:rsidRPr="001A370B">
          <w:rPr>
            <w:rStyle w:val="Hyperlink"/>
            <w:sz w:val="24"/>
            <w:szCs w:val="24"/>
          </w:rPr>
          <w:t>http://timetables.ljmu.ac.uk</w:t>
        </w:r>
      </w:hyperlink>
      <w:r>
        <w:rPr>
          <w:sz w:val="24"/>
          <w:szCs w:val="24"/>
        </w:rPr>
        <w:t>. Please check the timetable on a regular basis so that you are always clear when and where classes will take place.</w:t>
      </w:r>
    </w:p>
    <w:p w:rsidR="004A19B2" w:rsidRDefault="004A19B2" w:rsidP="007E3F7F">
      <w:pPr>
        <w:rPr>
          <w:sz w:val="24"/>
          <w:szCs w:val="24"/>
        </w:rPr>
      </w:pPr>
    </w:p>
    <w:p w:rsidR="004A19B2" w:rsidRDefault="004A19B2" w:rsidP="007E3F7F">
      <w:pPr>
        <w:rPr>
          <w:sz w:val="24"/>
          <w:szCs w:val="24"/>
        </w:rPr>
      </w:pPr>
      <w:r>
        <w:rPr>
          <w:sz w:val="24"/>
          <w:szCs w:val="24"/>
        </w:rPr>
        <w:t>The module is delivered by lectures and seminars. Each week you will have one lecture and one seminar. Both lectures and seminars are key components of this module and if you wish to be successful in your studies it is essential that you attend all sessions.</w:t>
      </w:r>
    </w:p>
    <w:p w:rsidR="004A19B2" w:rsidRPr="004A19B2" w:rsidRDefault="004A19B2" w:rsidP="007E3F7F">
      <w:pPr>
        <w:rPr>
          <w:sz w:val="24"/>
          <w:szCs w:val="24"/>
        </w:rPr>
        <w:sectPr w:rsidR="004A19B2" w:rsidRPr="004A19B2">
          <w:type w:val="continuous"/>
          <w:pgSz w:w="11906" w:h="16838"/>
          <w:pgMar w:top="851" w:right="707" w:bottom="993" w:left="709" w:header="708" w:footer="708" w:gutter="0"/>
          <w:cols w:space="708"/>
          <w:formProt w:val="0"/>
          <w:docGrid w:linePitch="360"/>
        </w:sectPr>
      </w:pPr>
    </w:p>
    <w:p w:rsidR="007E3F7F" w:rsidRDefault="007E3F7F" w:rsidP="007E3F7F">
      <w:pPr>
        <w:rPr>
          <w:i/>
        </w:rPr>
      </w:pPr>
    </w:p>
    <w:p w:rsidR="007E3F7F" w:rsidRDefault="007E3F7F" w:rsidP="007E3F7F">
      <w:pPr>
        <w:rPr>
          <w:i/>
        </w:rPr>
      </w:pPr>
      <w:r>
        <w:rPr>
          <w:i/>
        </w:rPr>
        <w:br w:type="page"/>
      </w:r>
    </w:p>
    <w:p w:rsidR="007E3F7F" w:rsidRDefault="007E3F7F" w:rsidP="007E3F7F">
      <w:pPr>
        <w:pStyle w:val="Heading1"/>
      </w:pPr>
      <w:bookmarkStart w:id="4" w:name="_Toc346274260"/>
      <w:r>
        <w:lastRenderedPageBreak/>
        <w:t>Assessment</w:t>
      </w:r>
      <w:bookmarkEnd w:id="4"/>
    </w:p>
    <w:p w:rsidR="007E3F7F" w:rsidRDefault="007E3F7F" w:rsidP="007E3F7F"/>
    <w:p w:rsidR="007E3F7F" w:rsidRDefault="007E3F7F" w:rsidP="007E3F7F">
      <w:pPr>
        <w:sectPr w:rsidR="007E3F7F">
          <w:type w:val="continuous"/>
          <w:pgSz w:w="11906" w:h="16838"/>
          <w:pgMar w:top="851" w:right="707" w:bottom="993" w:left="709" w:header="708" w:footer="708" w:gutter="0"/>
          <w:cols w:space="708"/>
          <w:docGrid w:linePitch="360"/>
        </w:sectPr>
      </w:pPr>
    </w:p>
    <w:p w:rsidR="00EC7B42" w:rsidRDefault="00BF72F4" w:rsidP="007E3F7F">
      <w:pPr>
        <w:rPr>
          <w:sz w:val="24"/>
          <w:szCs w:val="24"/>
        </w:rPr>
      </w:pPr>
      <w:r>
        <w:rPr>
          <w:sz w:val="24"/>
          <w:szCs w:val="24"/>
        </w:rPr>
        <w:lastRenderedPageBreak/>
        <w:t>The module is assessed by coursework and by examination. To pass the module, students must obtain a minimum overall module mark of 40%.</w:t>
      </w:r>
    </w:p>
    <w:p w:rsidR="00BF72F4" w:rsidRDefault="00BF72F4" w:rsidP="007E3F7F">
      <w:pPr>
        <w:rPr>
          <w:sz w:val="24"/>
          <w:szCs w:val="24"/>
        </w:rPr>
      </w:pPr>
      <w:r>
        <w:rPr>
          <w:sz w:val="24"/>
          <w:szCs w:val="24"/>
        </w:rPr>
        <w:t>EXAMINATION (75% of overall assessment)</w:t>
      </w:r>
    </w:p>
    <w:p w:rsidR="00BF72F4" w:rsidRDefault="00BF72F4" w:rsidP="007E3F7F">
      <w:pPr>
        <w:rPr>
          <w:sz w:val="24"/>
          <w:szCs w:val="24"/>
        </w:rPr>
      </w:pPr>
      <w:r>
        <w:rPr>
          <w:sz w:val="24"/>
          <w:szCs w:val="24"/>
        </w:rPr>
        <w:t>There will be a three hour examination held during the examination period which is the three weeks commencing 28 April 2014.</w:t>
      </w:r>
    </w:p>
    <w:p w:rsidR="00DF30AF" w:rsidRDefault="00DF30AF" w:rsidP="007E3F7F">
      <w:pPr>
        <w:rPr>
          <w:sz w:val="24"/>
          <w:szCs w:val="24"/>
        </w:rPr>
      </w:pPr>
      <w:r>
        <w:rPr>
          <w:sz w:val="24"/>
          <w:szCs w:val="24"/>
        </w:rPr>
        <w:t>The examination will comprise of two sections (A and B).</w:t>
      </w:r>
    </w:p>
    <w:p w:rsidR="00DF30AF" w:rsidRDefault="00DF30AF" w:rsidP="007E3F7F">
      <w:pPr>
        <w:rPr>
          <w:sz w:val="24"/>
          <w:szCs w:val="24"/>
        </w:rPr>
      </w:pPr>
      <w:r>
        <w:rPr>
          <w:sz w:val="24"/>
          <w:szCs w:val="24"/>
        </w:rPr>
        <w:t>Section A will contain five 20 mark questions and four will have to be attempted. The first two questions of section A will be compulsory, and will involve personal and corporation tax questions. Each question will usually be split into a computational part 916 marks) and a written part (4 marks).</w:t>
      </w:r>
    </w:p>
    <w:p w:rsidR="00DF30AF" w:rsidRDefault="00DF30AF" w:rsidP="007E3F7F">
      <w:pPr>
        <w:rPr>
          <w:sz w:val="24"/>
          <w:szCs w:val="24"/>
        </w:rPr>
      </w:pPr>
      <w:r>
        <w:rPr>
          <w:sz w:val="24"/>
          <w:szCs w:val="24"/>
        </w:rPr>
        <w:t xml:space="preserve">Section B will comprise two questions, each carrying 20 marks. One of these will have to be attempted. One question will be split into sections, usually four sections, </w:t>
      </w:r>
      <w:proofErr w:type="gramStart"/>
      <w:r>
        <w:rPr>
          <w:sz w:val="24"/>
          <w:szCs w:val="24"/>
        </w:rPr>
        <w:t>five</w:t>
      </w:r>
      <w:proofErr w:type="gramEnd"/>
      <w:r>
        <w:rPr>
          <w:sz w:val="24"/>
          <w:szCs w:val="24"/>
        </w:rPr>
        <w:t xml:space="preserve"> marks each. The other section B question will be an essay.</w:t>
      </w:r>
    </w:p>
    <w:p w:rsidR="00BF72F4" w:rsidRDefault="00DF30AF" w:rsidP="007E3F7F">
      <w:pPr>
        <w:rPr>
          <w:sz w:val="24"/>
          <w:szCs w:val="24"/>
        </w:rPr>
      </w:pPr>
      <w:r>
        <w:rPr>
          <w:sz w:val="24"/>
          <w:szCs w:val="24"/>
        </w:rPr>
        <w:t>A summary of the relevant tax data required for the tasks will form part of the examination paper.</w:t>
      </w:r>
    </w:p>
    <w:p w:rsidR="00BF72F4" w:rsidRDefault="00BF72F4" w:rsidP="007E3F7F">
      <w:pPr>
        <w:rPr>
          <w:sz w:val="24"/>
          <w:szCs w:val="24"/>
        </w:rPr>
      </w:pPr>
      <w:r>
        <w:rPr>
          <w:sz w:val="24"/>
          <w:szCs w:val="24"/>
        </w:rPr>
        <w:t>COURSEWORK (25% of overall assessment)</w:t>
      </w:r>
    </w:p>
    <w:p w:rsidR="00BF72F4" w:rsidRDefault="00BF72F4" w:rsidP="007E3F7F">
      <w:pPr>
        <w:rPr>
          <w:sz w:val="24"/>
          <w:szCs w:val="24"/>
        </w:rPr>
      </w:pPr>
      <w:r>
        <w:rPr>
          <w:sz w:val="24"/>
          <w:szCs w:val="24"/>
        </w:rPr>
        <w:t xml:space="preserve">The coursework will be in the form of a report to an individual about their tax affairs. This will involve calculation and discussion of tax issues. The coursework will be submitted during the first part of the second semester. Further details will be provided during the first semester. </w:t>
      </w:r>
    </w:p>
    <w:p w:rsidR="00DF30AF" w:rsidRDefault="00DF30AF" w:rsidP="007E3F7F">
      <w:pPr>
        <w:rPr>
          <w:sz w:val="24"/>
          <w:szCs w:val="24"/>
        </w:rPr>
      </w:pPr>
      <w:r>
        <w:rPr>
          <w:sz w:val="24"/>
          <w:szCs w:val="24"/>
        </w:rPr>
        <w:t>The aim of the coursework is to encourage wider reading and enable a general understanding of the part that taxation plays in everyday life. The coursework is based on the topics studied in semester one.</w:t>
      </w:r>
    </w:p>
    <w:p w:rsidR="00DF30AF" w:rsidRDefault="00DF30AF" w:rsidP="007E3F7F">
      <w:pPr>
        <w:rPr>
          <w:sz w:val="24"/>
          <w:szCs w:val="24"/>
        </w:rPr>
      </w:pPr>
      <w:r>
        <w:rPr>
          <w:sz w:val="24"/>
          <w:szCs w:val="24"/>
        </w:rPr>
        <w:t>This will encourage you to bring in knowledge from other subject areas, for example a consideration of economics, management accounting and investment, as well as considering the wider social, legal and administrative aspects.</w:t>
      </w:r>
    </w:p>
    <w:p w:rsidR="00DF30AF" w:rsidRDefault="00DF30AF" w:rsidP="007E3F7F">
      <w:pPr>
        <w:rPr>
          <w:sz w:val="24"/>
          <w:szCs w:val="24"/>
        </w:rPr>
      </w:pPr>
      <w:r>
        <w:rPr>
          <w:sz w:val="24"/>
          <w:szCs w:val="24"/>
        </w:rPr>
        <w:t xml:space="preserve">The final product should be cohesive, comprehensive, </w:t>
      </w:r>
      <w:proofErr w:type="gramStart"/>
      <w:r>
        <w:rPr>
          <w:sz w:val="24"/>
          <w:szCs w:val="24"/>
        </w:rPr>
        <w:t>readily</w:t>
      </w:r>
      <w:proofErr w:type="gramEnd"/>
      <w:r>
        <w:rPr>
          <w:sz w:val="24"/>
          <w:szCs w:val="24"/>
        </w:rPr>
        <w:t xml:space="preserve"> understandable and produced in a word processed document.</w:t>
      </w:r>
    </w:p>
    <w:p w:rsidR="00DF30AF" w:rsidRDefault="00DF30AF" w:rsidP="007E3F7F">
      <w:pPr>
        <w:rPr>
          <w:sz w:val="24"/>
          <w:szCs w:val="24"/>
        </w:rPr>
      </w:pPr>
      <w:r>
        <w:rPr>
          <w:sz w:val="24"/>
          <w:szCs w:val="24"/>
        </w:rPr>
        <w:t>In assessing the work, the following features will be considered:</w:t>
      </w:r>
    </w:p>
    <w:p w:rsidR="00DF30AF" w:rsidRDefault="00DF30AF" w:rsidP="007E3F7F">
      <w:pPr>
        <w:rPr>
          <w:sz w:val="24"/>
          <w:szCs w:val="24"/>
        </w:rPr>
      </w:pPr>
    </w:p>
    <w:p w:rsidR="00DF30AF" w:rsidRDefault="00DF30AF" w:rsidP="007E3F7F">
      <w:pPr>
        <w:rPr>
          <w:sz w:val="24"/>
          <w:szCs w:val="24"/>
        </w:rPr>
      </w:pPr>
      <w:r>
        <w:rPr>
          <w:sz w:val="24"/>
          <w:szCs w:val="24"/>
        </w:rPr>
        <w:lastRenderedPageBreak/>
        <w:t>Presentation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DF30AF" w:rsidRDefault="00DF30AF" w:rsidP="007E3F7F">
      <w:pPr>
        <w:rPr>
          <w:sz w:val="24"/>
          <w:szCs w:val="24"/>
        </w:rPr>
      </w:pPr>
      <w:r>
        <w:rPr>
          <w:sz w:val="24"/>
          <w:szCs w:val="24"/>
        </w:rPr>
        <w:t xml:space="preserve">Grammar, spelling </w:t>
      </w:r>
      <w:proofErr w:type="spellStart"/>
      <w:r>
        <w:rPr>
          <w:sz w:val="24"/>
          <w:szCs w:val="24"/>
        </w:rPr>
        <w:t>etc</w:t>
      </w:r>
      <w:proofErr w:type="spellEnd"/>
      <w:r>
        <w:rPr>
          <w:sz w:val="24"/>
          <w:szCs w:val="24"/>
        </w:rPr>
        <w:tab/>
      </w:r>
      <w:r>
        <w:rPr>
          <w:sz w:val="24"/>
          <w:szCs w:val="24"/>
        </w:rPr>
        <w:tab/>
      </w:r>
      <w:r>
        <w:rPr>
          <w:sz w:val="24"/>
          <w:szCs w:val="24"/>
        </w:rPr>
        <w:tab/>
      </w:r>
      <w:r>
        <w:rPr>
          <w:sz w:val="24"/>
          <w:szCs w:val="24"/>
        </w:rPr>
        <w:tab/>
      </w:r>
      <w:r>
        <w:rPr>
          <w:sz w:val="24"/>
          <w:szCs w:val="24"/>
        </w:rPr>
        <w:tab/>
        <w:t>5</w:t>
      </w:r>
    </w:p>
    <w:p w:rsidR="00DF30AF" w:rsidRDefault="00DF30AF" w:rsidP="007E3F7F">
      <w:pPr>
        <w:rPr>
          <w:sz w:val="24"/>
          <w:szCs w:val="24"/>
        </w:rPr>
      </w:pPr>
      <w:r>
        <w:rPr>
          <w:sz w:val="24"/>
          <w:szCs w:val="24"/>
        </w:rPr>
        <w:t>General written style</w:t>
      </w:r>
      <w:r>
        <w:rPr>
          <w:sz w:val="24"/>
          <w:szCs w:val="24"/>
        </w:rPr>
        <w:tab/>
      </w:r>
      <w:r>
        <w:rPr>
          <w:sz w:val="24"/>
          <w:szCs w:val="24"/>
        </w:rPr>
        <w:tab/>
      </w:r>
      <w:r>
        <w:rPr>
          <w:sz w:val="24"/>
          <w:szCs w:val="24"/>
        </w:rPr>
        <w:tab/>
      </w:r>
      <w:r>
        <w:rPr>
          <w:sz w:val="24"/>
          <w:szCs w:val="24"/>
        </w:rPr>
        <w:tab/>
      </w:r>
      <w:r>
        <w:rPr>
          <w:sz w:val="24"/>
          <w:szCs w:val="24"/>
        </w:rPr>
        <w:tab/>
      </w:r>
      <w:r w:rsidRPr="00DF30AF">
        <w:rPr>
          <w:sz w:val="24"/>
          <w:szCs w:val="24"/>
          <w:u w:val="single"/>
        </w:rPr>
        <w:t>5</w:t>
      </w:r>
    </w:p>
    <w:p w:rsidR="00DF30AF" w:rsidRDefault="00DF30AF" w:rsidP="007E3F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DF30AF" w:rsidRDefault="00DF30AF" w:rsidP="007E3F7F">
      <w:pPr>
        <w:rPr>
          <w:sz w:val="24"/>
          <w:szCs w:val="24"/>
        </w:rPr>
      </w:pPr>
      <w:r>
        <w:rPr>
          <w:sz w:val="24"/>
          <w:szCs w:val="24"/>
        </w:rPr>
        <w:t xml:space="preserve">Section 1 calculation and workings </w:t>
      </w:r>
      <w:r>
        <w:rPr>
          <w:sz w:val="24"/>
          <w:szCs w:val="24"/>
        </w:rPr>
        <w:tab/>
      </w:r>
      <w:r>
        <w:rPr>
          <w:sz w:val="24"/>
          <w:szCs w:val="24"/>
        </w:rPr>
        <w:tab/>
      </w:r>
      <w:r>
        <w:rPr>
          <w:sz w:val="24"/>
          <w:szCs w:val="24"/>
        </w:rPr>
        <w:tab/>
        <w:t>30</w:t>
      </w:r>
    </w:p>
    <w:p w:rsidR="00DF30AF" w:rsidRDefault="00DF30AF" w:rsidP="007E3F7F">
      <w:pPr>
        <w:rPr>
          <w:sz w:val="24"/>
          <w:szCs w:val="24"/>
        </w:rPr>
      </w:pPr>
      <w:r>
        <w:rPr>
          <w:sz w:val="24"/>
          <w:szCs w:val="24"/>
        </w:rPr>
        <w:t>Section 2 calculation and workings</w:t>
      </w:r>
      <w:r>
        <w:rPr>
          <w:sz w:val="24"/>
          <w:szCs w:val="24"/>
        </w:rPr>
        <w:tab/>
      </w:r>
      <w:r>
        <w:rPr>
          <w:sz w:val="24"/>
          <w:szCs w:val="24"/>
        </w:rPr>
        <w:tab/>
      </w:r>
      <w:r>
        <w:rPr>
          <w:sz w:val="24"/>
          <w:szCs w:val="24"/>
        </w:rPr>
        <w:tab/>
      </w:r>
      <w:r w:rsidRPr="00DF30AF">
        <w:rPr>
          <w:sz w:val="24"/>
          <w:szCs w:val="24"/>
          <w:u w:val="single"/>
        </w:rPr>
        <w:t>30</w:t>
      </w:r>
    </w:p>
    <w:p w:rsidR="00DF30AF" w:rsidRDefault="00DF30AF" w:rsidP="007E3F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w:t>
      </w:r>
    </w:p>
    <w:p w:rsidR="00DF30AF" w:rsidRDefault="003C5E96" w:rsidP="007E3F7F">
      <w:pPr>
        <w:rPr>
          <w:sz w:val="24"/>
          <w:szCs w:val="24"/>
        </w:rPr>
      </w:pPr>
      <w:r>
        <w:rPr>
          <w:sz w:val="24"/>
          <w:szCs w:val="24"/>
        </w:rPr>
        <w:t>Memorandum to client, including advice,</w:t>
      </w:r>
    </w:p>
    <w:p w:rsidR="003C5E96" w:rsidRDefault="003C5E96" w:rsidP="007E3F7F">
      <w:pPr>
        <w:rPr>
          <w:sz w:val="24"/>
          <w:szCs w:val="24"/>
        </w:rPr>
      </w:pPr>
      <w:r>
        <w:rPr>
          <w:sz w:val="24"/>
          <w:szCs w:val="24"/>
        </w:rPr>
        <w:t>Request for further information, comparisons and conclusions</w:t>
      </w:r>
      <w:r>
        <w:rPr>
          <w:sz w:val="24"/>
          <w:szCs w:val="24"/>
        </w:rPr>
        <w:tab/>
      </w:r>
      <w:r>
        <w:rPr>
          <w:sz w:val="24"/>
          <w:szCs w:val="24"/>
        </w:rPr>
        <w:tab/>
      </w:r>
      <w:r w:rsidRPr="003C5E96">
        <w:rPr>
          <w:sz w:val="24"/>
          <w:szCs w:val="24"/>
          <w:u w:val="single"/>
        </w:rPr>
        <w:t>25</w:t>
      </w:r>
    </w:p>
    <w:p w:rsidR="003C5E96" w:rsidRPr="003C5E96" w:rsidRDefault="003C5E96" w:rsidP="007E3F7F">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5E96">
        <w:rPr>
          <w:sz w:val="24"/>
          <w:szCs w:val="24"/>
          <w:u w:val="single"/>
        </w:rPr>
        <w:t>100</w:t>
      </w:r>
    </w:p>
    <w:p w:rsidR="00DF30AF" w:rsidRPr="00BF72F4" w:rsidRDefault="00DF30AF" w:rsidP="007E3F7F">
      <w:pPr>
        <w:rPr>
          <w:sz w:val="24"/>
          <w:szCs w:val="24"/>
        </w:rPr>
      </w:pPr>
    </w:p>
    <w:p w:rsidR="00EC7B42" w:rsidRDefault="00EC7B42" w:rsidP="007E3F7F">
      <w:pPr>
        <w:rPr>
          <w:i/>
        </w:rPr>
      </w:pPr>
    </w:p>
    <w:p w:rsidR="003C5E96" w:rsidRDefault="003C5E96" w:rsidP="003C5E96">
      <w:pPr>
        <w:rPr>
          <w:sz w:val="24"/>
          <w:szCs w:val="24"/>
        </w:rPr>
      </w:pPr>
      <w:r w:rsidRPr="003C5E96">
        <w:rPr>
          <w:sz w:val="24"/>
          <w:szCs w:val="24"/>
        </w:rPr>
        <w:t>The following considerations will be applied in assessing how well the above features have been achieved:</w:t>
      </w:r>
    </w:p>
    <w:p w:rsidR="003C5E96" w:rsidRDefault="003C5E96" w:rsidP="003C5E96">
      <w:pPr>
        <w:pStyle w:val="NoSpacing"/>
      </w:pPr>
    </w:p>
    <w:p w:rsidR="003C5E96" w:rsidRPr="003C5E96" w:rsidRDefault="003C5E96" w:rsidP="003C5E96">
      <w:pPr>
        <w:pStyle w:val="NoSpacing"/>
        <w:rPr>
          <w:sz w:val="24"/>
          <w:szCs w:val="24"/>
        </w:rPr>
      </w:pPr>
      <w:r w:rsidRPr="003C5E96">
        <w:rPr>
          <w:sz w:val="24"/>
          <w:szCs w:val="24"/>
        </w:rPr>
        <w:t xml:space="preserve">1 </w:t>
      </w:r>
      <w:r w:rsidRPr="003C5E96">
        <w:rPr>
          <w:sz w:val="24"/>
          <w:szCs w:val="24"/>
        </w:rPr>
        <w:tab/>
        <w:t>Economy and clarity of expression</w:t>
      </w:r>
    </w:p>
    <w:p w:rsidR="003C5E96" w:rsidRPr="003C5E96" w:rsidRDefault="003C5E96" w:rsidP="003C5E96">
      <w:pPr>
        <w:pStyle w:val="NoSpacing"/>
        <w:rPr>
          <w:sz w:val="24"/>
          <w:szCs w:val="24"/>
        </w:rPr>
      </w:pPr>
    </w:p>
    <w:p w:rsidR="003C5E96" w:rsidRPr="003C5E96" w:rsidRDefault="003C5E96" w:rsidP="003C5E96">
      <w:pPr>
        <w:pStyle w:val="NoSpacing"/>
        <w:rPr>
          <w:sz w:val="24"/>
          <w:szCs w:val="24"/>
        </w:rPr>
      </w:pPr>
      <w:r w:rsidRPr="003C5E96">
        <w:rPr>
          <w:sz w:val="24"/>
          <w:szCs w:val="24"/>
        </w:rPr>
        <w:t>2</w:t>
      </w:r>
      <w:r w:rsidRPr="003C5E96">
        <w:rPr>
          <w:sz w:val="24"/>
          <w:szCs w:val="24"/>
        </w:rPr>
        <w:tab/>
        <w:t>Structure of the points raised into a coherent, logical and telling argument</w:t>
      </w:r>
    </w:p>
    <w:p w:rsidR="003C5E96" w:rsidRPr="003C5E96" w:rsidRDefault="003C5E96" w:rsidP="003C5E96">
      <w:pPr>
        <w:pStyle w:val="NoSpacing"/>
        <w:rPr>
          <w:sz w:val="24"/>
          <w:szCs w:val="24"/>
        </w:rPr>
      </w:pPr>
    </w:p>
    <w:p w:rsidR="003C5E96" w:rsidRPr="003C5E96" w:rsidRDefault="003C5E96" w:rsidP="003C5E96">
      <w:pPr>
        <w:pStyle w:val="NoSpacing"/>
        <w:rPr>
          <w:sz w:val="24"/>
          <w:szCs w:val="24"/>
        </w:rPr>
      </w:pPr>
      <w:r w:rsidRPr="003C5E96">
        <w:rPr>
          <w:sz w:val="24"/>
          <w:szCs w:val="24"/>
        </w:rPr>
        <w:t>3</w:t>
      </w:r>
      <w:r w:rsidRPr="003C5E96">
        <w:rPr>
          <w:sz w:val="24"/>
          <w:szCs w:val="24"/>
        </w:rPr>
        <w:tab/>
        <w:t xml:space="preserve">Evidence of further reading and insight into the points </w:t>
      </w:r>
      <w:proofErr w:type="gramStart"/>
      <w:r w:rsidRPr="003C5E96">
        <w:rPr>
          <w:sz w:val="24"/>
          <w:szCs w:val="24"/>
        </w:rPr>
        <w:t>raised</w:t>
      </w:r>
      <w:proofErr w:type="gramEnd"/>
    </w:p>
    <w:p w:rsidR="003C5E96" w:rsidRPr="003C5E96" w:rsidRDefault="003C5E96" w:rsidP="003C5E96">
      <w:pPr>
        <w:pStyle w:val="NoSpacing"/>
        <w:rPr>
          <w:sz w:val="24"/>
          <w:szCs w:val="24"/>
        </w:rPr>
      </w:pPr>
    </w:p>
    <w:p w:rsidR="003C5E96" w:rsidRPr="003C5E96" w:rsidRDefault="003C5E96" w:rsidP="003C5E96">
      <w:pPr>
        <w:pStyle w:val="NoSpacing"/>
        <w:rPr>
          <w:sz w:val="24"/>
          <w:szCs w:val="24"/>
        </w:rPr>
      </w:pPr>
      <w:r w:rsidRPr="003C5E96">
        <w:rPr>
          <w:sz w:val="24"/>
          <w:szCs w:val="24"/>
        </w:rPr>
        <w:t>4</w:t>
      </w:r>
      <w:r w:rsidRPr="003C5E96">
        <w:rPr>
          <w:sz w:val="24"/>
          <w:szCs w:val="24"/>
        </w:rPr>
        <w:tab/>
        <w:t>Coherent conclusions</w:t>
      </w:r>
    </w:p>
    <w:p w:rsidR="003C5E96" w:rsidRPr="003C5E96" w:rsidRDefault="003C5E96" w:rsidP="003C5E96">
      <w:pPr>
        <w:pStyle w:val="NoSpacing"/>
        <w:rPr>
          <w:sz w:val="24"/>
          <w:szCs w:val="24"/>
        </w:rPr>
      </w:pPr>
    </w:p>
    <w:p w:rsidR="003C5E96" w:rsidRPr="003C5E96" w:rsidRDefault="003C5E96" w:rsidP="003C5E96">
      <w:pPr>
        <w:pStyle w:val="NoSpacing"/>
        <w:rPr>
          <w:sz w:val="24"/>
          <w:szCs w:val="24"/>
        </w:rPr>
      </w:pPr>
      <w:r w:rsidRPr="003C5E96">
        <w:rPr>
          <w:sz w:val="24"/>
          <w:szCs w:val="24"/>
        </w:rPr>
        <w:t>5</w:t>
      </w:r>
      <w:r w:rsidRPr="003C5E96">
        <w:rPr>
          <w:sz w:val="24"/>
          <w:szCs w:val="24"/>
        </w:rPr>
        <w:tab/>
        <w:t>Referencing</w:t>
      </w:r>
    </w:p>
    <w:p w:rsidR="003C5E96" w:rsidRPr="003C5E96" w:rsidRDefault="003C5E96" w:rsidP="003C5E96">
      <w:pPr>
        <w:pStyle w:val="NoSpacing"/>
        <w:rPr>
          <w:sz w:val="24"/>
          <w:szCs w:val="24"/>
        </w:rPr>
      </w:pPr>
    </w:p>
    <w:p w:rsidR="003C5E96" w:rsidRDefault="003C5E96" w:rsidP="003C5E96">
      <w:pPr>
        <w:pStyle w:val="NoSpacing"/>
        <w:rPr>
          <w:sz w:val="24"/>
          <w:szCs w:val="24"/>
        </w:rPr>
      </w:pPr>
    </w:p>
    <w:p w:rsidR="003C5E96" w:rsidRDefault="003C5E96" w:rsidP="003C5E96">
      <w:pPr>
        <w:pStyle w:val="NoSpacing"/>
        <w:rPr>
          <w:sz w:val="24"/>
          <w:szCs w:val="24"/>
        </w:rPr>
      </w:pPr>
      <w:r>
        <w:rPr>
          <w:sz w:val="24"/>
          <w:szCs w:val="24"/>
        </w:rPr>
        <w:t>RETURN OF COURSEWORK</w:t>
      </w:r>
    </w:p>
    <w:p w:rsidR="003C5E96" w:rsidRDefault="003C5E96" w:rsidP="003C5E96">
      <w:pPr>
        <w:pStyle w:val="NoSpacing"/>
        <w:rPr>
          <w:sz w:val="24"/>
          <w:szCs w:val="24"/>
        </w:rPr>
      </w:pPr>
    </w:p>
    <w:p w:rsidR="003C5E96" w:rsidRDefault="003C5E96" w:rsidP="003C5E96">
      <w:pPr>
        <w:pStyle w:val="NoSpacing"/>
        <w:rPr>
          <w:sz w:val="24"/>
          <w:szCs w:val="24"/>
        </w:rPr>
      </w:pPr>
      <w:r>
        <w:rPr>
          <w:sz w:val="24"/>
          <w:szCs w:val="24"/>
        </w:rPr>
        <w:t>In accordance with university principles, all coursework must be returned within three weeks of the assessment deadline and written feedback provided. The feedback will be produced in accordance with the published coursework criteria. Any student is entitled to receive face to face feedback on the coursework.</w:t>
      </w:r>
    </w:p>
    <w:p w:rsidR="003C5E96" w:rsidRDefault="003C5E96" w:rsidP="003C5E96">
      <w:pPr>
        <w:pStyle w:val="NoSpacing"/>
        <w:rPr>
          <w:sz w:val="24"/>
          <w:szCs w:val="24"/>
        </w:rPr>
      </w:pPr>
    </w:p>
    <w:p w:rsidR="003C5E96" w:rsidRDefault="003C5E96" w:rsidP="003C5E96">
      <w:pPr>
        <w:pStyle w:val="NoSpacing"/>
        <w:rPr>
          <w:sz w:val="24"/>
          <w:szCs w:val="24"/>
        </w:rPr>
      </w:pPr>
    </w:p>
    <w:p w:rsidR="003C5E96" w:rsidRPr="003C5E96" w:rsidRDefault="003C5E96" w:rsidP="003C5E96">
      <w:pPr>
        <w:pStyle w:val="NoSpacing"/>
        <w:rPr>
          <w:sz w:val="24"/>
          <w:szCs w:val="24"/>
        </w:rPr>
        <w:sectPr w:rsidR="003C5E96" w:rsidRPr="003C5E96">
          <w:type w:val="continuous"/>
          <w:pgSz w:w="11906" w:h="16838"/>
          <w:pgMar w:top="851" w:right="707" w:bottom="993" w:left="709" w:header="708" w:footer="708" w:gutter="0"/>
          <w:cols w:space="708"/>
          <w:formProt w:val="0"/>
          <w:docGrid w:linePitch="360"/>
        </w:sectPr>
      </w:pPr>
    </w:p>
    <w:p w:rsidR="007E3F7F" w:rsidRDefault="007E3F7F" w:rsidP="007E3F7F">
      <w:pPr>
        <w:rPr>
          <w:i/>
        </w:rPr>
      </w:pPr>
    </w:p>
    <w:p w:rsidR="007E3F7F" w:rsidRDefault="007E3F7F" w:rsidP="007E3F7F">
      <w:pPr>
        <w:rPr>
          <w:i/>
        </w:rPr>
      </w:pPr>
      <w:r>
        <w:rPr>
          <w:i/>
        </w:rPr>
        <w:br w:type="page"/>
      </w:r>
    </w:p>
    <w:p w:rsidR="007E3F7F" w:rsidRDefault="007E3F7F" w:rsidP="007E3F7F">
      <w:pPr>
        <w:pStyle w:val="Heading1"/>
      </w:pPr>
      <w:bookmarkStart w:id="5" w:name="_Toc346274261"/>
      <w:r>
        <w:lastRenderedPageBreak/>
        <w:t>References/Book List</w:t>
      </w:r>
      <w:bookmarkEnd w:id="5"/>
    </w:p>
    <w:p w:rsidR="007E3F7F" w:rsidRPr="007E3F7F" w:rsidRDefault="007E3F7F" w:rsidP="007E3F7F"/>
    <w:p w:rsidR="007E3F7F" w:rsidRDefault="007E3F7F" w:rsidP="007E3F7F">
      <w:pPr>
        <w:sectPr w:rsidR="007E3F7F">
          <w:type w:val="continuous"/>
          <w:pgSz w:w="11906" w:h="16838"/>
          <w:pgMar w:top="851" w:right="707" w:bottom="993" w:left="709" w:header="708" w:footer="708" w:gutter="0"/>
          <w:cols w:space="708"/>
          <w:docGrid w:linePitch="360"/>
        </w:sectPr>
      </w:pPr>
    </w:p>
    <w:p w:rsidR="007E3F7F" w:rsidRDefault="00046EC1" w:rsidP="007E3F7F">
      <w:pPr>
        <w:rPr>
          <w:sz w:val="24"/>
          <w:szCs w:val="24"/>
        </w:rPr>
      </w:pPr>
      <w:r>
        <w:rPr>
          <w:sz w:val="24"/>
          <w:szCs w:val="24"/>
        </w:rPr>
        <w:lastRenderedPageBreak/>
        <w:t>The course text is:</w:t>
      </w:r>
    </w:p>
    <w:p w:rsidR="00046EC1" w:rsidRDefault="00046EC1" w:rsidP="007E3F7F">
      <w:pPr>
        <w:rPr>
          <w:sz w:val="24"/>
          <w:szCs w:val="24"/>
        </w:rPr>
      </w:pPr>
      <w:r>
        <w:rPr>
          <w:sz w:val="24"/>
          <w:szCs w:val="24"/>
        </w:rPr>
        <w:t>MELVILLE A (2013), Taxation: Finance Act 2013 (ISBN 0273789260), Pearson Education Limited</w:t>
      </w:r>
    </w:p>
    <w:p w:rsidR="00046EC1" w:rsidRDefault="00046EC1" w:rsidP="007E3F7F">
      <w:pPr>
        <w:rPr>
          <w:sz w:val="24"/>
          <w:szCs w:val="24"/>
        </w:rPr>
      </w:pPr>
      <w:r>
        <w:rPr>
          <w:sz w:val="24"/>
          <w:szCs w:val="24"/>
        </w:rPr>
        <w:t>Other recommended text is:</w:t>
      </w:r>
    </w:p>
    <w:p w:rsidR="00046EC1" w:rsidRDefault="00046EC1" w:rsidP="007E3F7F">
      <w:pPr>
        <w:rPr>
          <w:sz w:val="24"/>
          <w:szCs w:val="24"/>
        </w:rPr>
      </w:pPr>
      <w:r>
        <w:rPr>
          <w:sz w:val="24"/>
          <w:szCs w:val="24"/>
        </w:rPr>
        <w:t>LYMER A</w:t>
      </w:r>
      <w:r w:rsidR="007622AE">
        <w:rPr>
          <w:sz w:val="24"/>
          <w:szCs w:val="24"/>
        </w:rPr>
        <w:t xml:space="preserve"> and OATES L</w:t>
      </w:r>
      <w:r>
        <w:rPr>
          <w:sz w:val="24"/>
          <w:szCs w:val="24"/>
        </w:rPr>
        <w:t>: Taxation: Policy and P</w:t>
      </w:r>
      <w:r w:rsidR="007622AE">
        <w:rPr>
          <w:sz w:val="24"/>
          <w:szCs w:val="24"/>
        </w:rPr>
        <w:t>ractice 2013/14 (ISBN 978 1 906201 20 3)</w:t>
      </w:r>
      <w:r>
        <w:rPr>
          <w:sz w:val="24"/>
          <w:szCs w:val="24"/>
        </w:rPr>
        <w:t>)</w:t>
      </w:r>
    </w:p>
    <w:p w:rsidR="00046EC1" w:rsidRDefault="00046EC1" w:rsidP="007E3F7F">
      <w:pPr>
        <w:rPr>
          <w:sz w:val="24"/>
          <w:szCs w:val="24"/>
        </w:rPr>
      </w:pPr>
    </w:p>
    <w:p w:rsidR="00046EC1" w:rsidRDefault="00046EC1" w:rsidP="007E3F7F">
      <w:pPr>
        <w:rPr>
          <w:sz w:val="24"/>
          <w:szCs w:val="24"/>
        </w:rPr>
      </w:pPr>
      <w:r>
        <w:rPr>
          <w:sz w:val="24"/>
          <w:szCs w:val="24"/>
        </w:rPr>
        <w:t>Both of the above books are available online or at Blackwell’s Bookshop.</w:t>
      </w:r>
    </w:p>
    <w:p w:rsidR="007622AE" w:rsidRDefault="007622AE" w:rsidP="007E3F7F">
      <w:pPr>
        <w:rPr>
          <w:sz w:val="24"/>
          <w:szCs w:val="24"/>
        </w:rPr>
      </w:pPr>
    </w:p>
    <w:p w:rsidR="007622AE" w:rsidRDefault="007622AE" w:rsidP="007E3F7F">
      <w:pPr>
        <w:rPr>
          <w:sz w:val="24"/>
          <w:szCs w:val="24"/>
        </w:rPr>
      </w:pPr>
      <w:proofErr w:type="gramStart"/>
      <w:r>
        <w:rPr>
          <w:sz w:val="24"/>
          <w:szCs w:val="24"/>
        </w:rPr>
        <w:t>Other  reading</w:t>
      </w:r>
      <w:proofErr w:type="gramEnd"/>
      <w:r>
        <w:rPr>
          <w:sz w:val="24"/>
          <w:szCs w:val="24"/>
        </w:rPr>
        <w:t>:</w:t>
      </w:r>
    </w:p>
    <w:p w:rsidR="007622AE" w:rsidRDefault="007622AE" w:rsidP="007E3F7F">
      <w:pPr>
        <w:rPr>
          <w:sz w:val="24"/>
          <w:szCs w:val="24"/>
        </w:rPr>
      </w:pPr>
    </w:p>
    <w:p w:rsidR="007622AE" w:rsidRDefault="007622AE" w:rsidP="007E3F7F">
      <w:pPr>
        <w:rPr>
          <w:sz w:val="24"/>
          <w:szCs w:val="24"/>
        </w:rPr>
      </w:pPr>
      <w:r>
        <w:rPr>
          <w:sz w:val="24"/>
          <w:szCs w:val="24"/>
        </w:rPr>
        <w:t>COMBS A, DIXON S and ROWES P, Taxation, incorporating the 2013 Finance Act 2013/14</w:t>
      </w:r>
    </w:p>
    <w:p w:rsidR="007622AE" w:rsidRDefault="007622AE" w:rsidP="007E3F7F">
      <w:pPr>
        <w:rPr>
          <w:sz w:val="24"/>
          <w:szCs w:val="24"/>
        </w:rPr>
      </w:pPr>
      <w:r>
        <w:rPr>
          <w:sz w:val="24"/>
          <w:szCs w:val="24"/>
        </w:rPr>
        <w:t xml:space="preserve">HMRC website </w:t>
      </w:r>
      <w:hyperlink r:id="rId13" w:history="1">
        <w:r w:rsidRPr="00BC54D3">
          <w:rPr>
            <w:rStyle w:val="Hyperlink"/>
            <w:sz w:val="24"/>
            <w:szCs w:val="24"/>
          </w:rPr>
          <w:t>www.hmrc.gov.uk</w:t>
        </w:r>
      </w:hyperlink>
    </w:p>
    <w:p w:rsidR="007622AE" w:rsidRPr="00046EC1" w:rsidRDefault="007622AE" w:rsidP="007E3F7F">
      <w:pPr>
        <w:rPr>
          <w:sz w:val="24"/>
          <w:szCs w:val="24"/>
        </w:rPr>
      </w:pPr>
    </w:p>
    <w:p w:rsidR="007E3F7F" w:rsidRDefault="007E3F7F" w:rsidP="007E3F7F">
      <w:pPr>
        <w:rPr>
          <w:i/>
        </w:rPr>
      </w:pPr>
    </w:p>
    <w:p w:rsidR="007622AE" w:rsidRDefault="007622AE" w:rsidP="007E3F7F">
      <w:pPr>
        <w:rPr>
          <w:i/>
        </w:rPr>
      </w:pPr>
    </w:p>
    <w:p w:rsidR="007E3F7F" w:rsidRDefault="007E3F7F" w:rsidP="007E3F7F">
      <w:pPr>
        <w:rPr>
          <w:i/>
        </w:rPr>
      </w:pPr>
    </w:p>
    <w:p w:rsidR="00EC7B42" w:rsidRDefault="00EC7B42" w:rsidP="007E3F7F">
      <w:pPr>
        <w:sectPr w:rsidR="00EC7B42">
          <w:type w:val="continuous"/>
          <w:pgSz w:w="11906" w:h="16838"/>
          <w:pgMar w:top="851" w:right="707" w:bottom="993" w:left="709" w:header="708" w:footer="708" w:gutter="0"/>
          <w:cols w:space="708"/>
          <w:formProt w:val="0"/>
          <w:docGrid w:linePitch="360"/>
        </w:sectPr>
      </w:pPr>
    </w:p>
    <w:p w:rsidR="007E3F7F" w:rsidRPr="007E3F7F" w:rsidRDefault="007E3F7F" w:rsidP="007E3F7F"/>
    <w:p w:rsidR="007E3F7F" w:rsidRPr="007E3F7F" w:rsidRDefault="007E3F7F" w:rsidP="007E3F7F">
      <w:pPr>
        <w:rPr>
          <w:i/>
        </w:rPr>
      </w:pPr>
    </w:p>
    <w:sectPr w:rsidR="007E3F7F" w:rsidRPr="007E3F7F" w:rsidSect="007E3F7F">
      <w:type w:val="continuous"/>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45" w:rsidRDefault="00A83B45" w:rsidP="00AA073D">
      <w:pPr>
        <w:spacing w:before="0" w:after="0" w:line="240" w:lineRule="auto"/>
      </w:pPr>
      <w:r>
        <w:separator/>
      </w:r>
    </w:p>
  </w:endnote>
  <w:endnote w:type="continuationSeparator" w:id="0">
    <w:p w:rsidR="00A83B45" w:rsidRDefault="00A83B45" w:rsidP="00AA07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93495"/>
      <w:docPartObj>
        <w:docPartGallery w:val="Page Numbers (Bottom of Page)"/>
        <w:docPartUnique/>
      </w:docPartObj>
    </w:sdtPr>
    <w:sdtEndPr>
      <w:rPr>
        <w:noProof/>
      </w:rPr>
    </w:sdtEndPr>
    <w:sdtContent>
      <w:p w:rsidR="00E03406" w:rsidRDefault="00A83B45">
        <w:pPr>
          <w:pStyle w:val="Footer"/>
          <w:jc w:val="center"/>
        </w:pPr>
        <w:r>
          <w:fldChar w:fldCharType="begin"/>
        </w:r>
        <w:r>
          <w:instrText xml:space="preserve"> PAGE   \* MERGEFORMAT </w:instrText>
        </w:r>
        <w:r>
          <w:fldChar w:fldCharType="separate"/>
        </w:r>
        <w:r w:rsidR="00737DB7">
          <w:rPr>
            <w:noProof/>
          </w:rPr>
          <w:t>1</w:t>
        </w:r>
        <w:r>
          <w:rPr>
            <w:noProof/>
          </w:rPr>
          <w:fldChar w:fldCharType="end"/>
        </w:r>
      </w:p>
    </w:sdtContent>
  </w:sdt>
  <w:p w:rsidR="00E03406" w:rsidRDefault="00E03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87" w:rsidRDefault="001D7087" w:rsidP="004E27C7">
    <w:pPr>
      <w:pStyle w:val="Footer"/>
    </w:pPr>
  </w:p>
  <w:tbl>
    <w:tblPr>
      <w:tblStyle w:val="TableGrid"/>
      <w:tblW w:w="0" w:type="auto"/>
      <w:tblLook w:val="04A0" w:firstRow="1" w:lastRow="0" w:firstColumn="1" w:lastColumn="0" w:noHBand="0" w:noVBand="1"/>
    </w:tblPr>
    <w:tblGrid>
      <w:gridCol w:w="7196"/>
      <w:gridCol w:w="3510"/>
    </w:tblGrid>
    <w:tr w:rsidR="001D7087">
      <w:tc>
        <w:tcPr>
          <w:tcW w:w="7196" w:type="dxa"/>
          <w:tcBorders>
            <w:top w:val="nil"/>
            <w:left w:val="nil"/>
            <w:bottom w:val="nil"/>
            <w:right w:val="nil"/>
          </w:tcBorders>
          <w:shd w:val="clear" w:color="auto" w:fill="00B0F0"/>
        </w:tcPr>
        <w:p w:rsidR="001D7087" w:rsidRPr="004E27C7" w:rsidRDefault="001D7087" w:rsidP="00AD66CF">
          <w:pPr>
            <w:pStyle w:val="LJMU"/>
          </w:pPr>
          <w:r w:rsidRPr="004E27C7">
            <w:t>Liverpool John Moores University</w:t>
          </w:r>
        </w:p>
      </w:tc>
      <w:tc>
        <w:tcPr>
          <w:tcW w:w="3510" w:type="dxa"/>
          <w:tcBorders>
            <w:top w:val="nil"/>
            <w:left w:val="nil"/>
            <w:bottom w:val="nil"/>
            <w:right w:val="nil"/>
          </w:tcBorders>
          <w:shd w:val="clear" w:color="auto" w:fill="00B0F0"/>
        </w:tcPr>
        <w:p w:rsidR="001D7087" w:rsidRPr="00737D53" w:rsidRDefault="001D7087" w:rsidP="00AD66CF">
          <w:pPr>
            <w:pStyle w:val="LJMU"/>
            <w:jc w:val="right"/>
            <w:rPr>
              <w:sz w:val="18"/>
              <w:szCs w:val="18"/>
            </w:rPr>
          </w:pPr>
          <w:r w:rsidRPr="00737D53">
            <w:rPr>
              <w:sz w:val="18"/>
              <w:szCs w:val="18"/>
            </w:rPr>
            <w:t xml:space="preserve">Page </w:t>
          </w:r>
          <w:r w:rsidR="00A83B45">
            <w:fldChar w:fldCharType="begin"/>
          </w:r>
          <w:r w:rsidR="00A83B45">
            <w:instrText xml:space="preserve"> PAGE   \* MERGEFORMAT </w:instrText>
          </w:r>
          <w:r w:rsidR="00A83B45">
            <w:fldChar w:fldCharType="separate"/>
          </w:r>
          <w:r w:rsidR="00737DB7" w:rsidRPr="00737DB7">
            <w:rPr>
              <w:noProof/>
              <w:sz w:val="18"/>
              <w:szCs w:val="18"/>
            </w:rPr>
            <w:t>2</w:t>
          </w:r>
          <w:r w:rsidR="00A83B45">
            <w:rPr>
              <w:noProof/>
              <w:sz w:val="18"/>
              <w:szCs w:val="18"/>
            </w:rPr>
            <w:fldChar w:fldCharType="end"/>
          </w:r>
        </w:p>
      </w:tc>
    </w:tr>
  </w:tbl>
  <w:p w:rsidR="001D7087" w:rsidRDefault="001D7087" w:rsidP="004E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45" w:rsidRDefault="00A83B45" w:rsidP="00AA073D">
      <w:pPr>
        <w:spacing w:before="0" w:after="0" w:line="240" w:lineRule="auto"/>
      </w:pPr>
      <w:r>
        <w:separator/>
      </w:r>
    </w:p>
  </w:footnote>
  <w:footnote w:type="continuationSeparator" w:id="0">
    <w:p w:rsidR="00A83B45" w:rsidRDefault="00A83B45" w:rsidP="00AA073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93FDF"/>
    <w:multiLevelType w:val="hybridMultilevel"/>
    <w:tmpl w:val="9AF2A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384252"/>
    <w:multiLevelType w:val="hybridMultilevel"/>
    <w:tmpl w:val="8E3C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4B5028"/>
    <w:multiLevelType w:val="hybridMultilevel"/>
    <w:tmpl w:val="CDB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135429"/>
    <w:multiLevelType w:val="hybridMultilevel"/>
    <w:tmpl w:val="8592B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5"/>
  </w:num>
  <w:num w:numId="4">
    <w:abstractNumId w:val="23"/>
  </w:num>
  <w:num w:numId="5">
    <w:abstractNumId w:val="11"/>
  </w:num>
  <w:num w:numId="6">
    <w:abstractNumId w:val="25"/>
  </w:num>
  <w:num w:numId="7">
    <w:abstractNumId w:val="2"/>
  </w:num>
  <w:num w:numId="8">
    <w:abstractNumId w:val="7"/>
  </w:num>
  <w:num w:numId="9">
    <w:abstractNumId w:val="8"/>
  </w:num>
  <w:num w:numId="10">
    <w:abstractNumId w:val="3"/>
  </w:num>
  <w:num w:numId="11">
    <w:abstractNumId w:val="16"/>
  </w:num>
  <w:num w:numId="12">
    <w:abstractNumId w:val="13"/>
  </w:num>
  <w:num w:numId="13">
    <w:abstractNumId w:val="0"/>
  </w:num>
  <w:num w:numId="14">
    <w:abstractNumId w:val="19"/>
  </w:num>
  <w:num w:numId="15">
    <w:abstractNumId w:val="6"/>
  </w:num>
  <w:num w:numId="16">
    <w:abstractNumId w:val="14"/>
  </w:num>
  <w:num w:numId="17">
    <w:abstractNumId w:val="15"/>
  </w:num>
  <w:num w:numId="18">
    <w:abstractNumId w:val="9"/>
  </w:num>
  <w:num w:numId="19">
    <w:abstractNumId w:val="28"/>
  </w:num>
  <w:num w:numId="20">
    <w:abstractNumId w:val="10"/>
  </w:num>
  <w:num w:numId="21">
    <w:abstractNumId w:val="27"/>
  </w:num>
  <w:num w:numId="22">
    <w:abstractNumId w:val="26"/>
  </w:num>
  <w:num w:numId="23">
    <w:abstractNumId w:val="1"/>
  </w:num>
  <w:num w:numId="24">
    <w:abstractNumId w:val="20"/>
  </w:num>
  <w:num w:numId="25">
    <w:abstractNumId w:val="24"/>
  </w:num>
  <w:num w:numId="26">
    <w:abstractNumId w:val="12"/>
  </w:num>
  <w:num w:numId="27">
    <w:abstractNumId w:val="22"/>
  </w:num>
  <w:num w:numId="28">
    <w:abstractNumId w:val="18"/>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ocumentProtection w:edit="forms" w:enforcement="1" w:cryptProviderType="rsaFull" w:cryptAlgorithmClass="hash" w:cryptAlgorithmType="typeAny" w:cryptAlgorithmSid="4" w:cryptSpinCount="100000" w:hash="CCxsw8yeo793SjJCFYZcYfx9KLI=" w:salt="eyC7Jc+KURLYMK4bf/Q2f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17"/>
    <w:rsid w:val="000034A1"/>
    <w:rsid w:val="000160DD"/>
    <w:rsid w:val="0002572C"/>
    <w:rsid w:val="00041E89"/>
    <w:rsid w:val="00043317"/>
    <w:rsid w:val="00046EC1"/>
    <w:rsid w:val="00070971"/>
    <w:rsid w:val="000746C1"/>
    <w:rsid w:val="00084760"/>
    <w:rsid w:val="00095049"/>
    <w:rsid w:val="00097057"/>
    <w:rsid w:val="000A4584"/>
    <w:rsid w:val="000A72D9"/>
    <w:rsid w:val="000E4A27"/>
    <w:rsid w:val="000F1DB1"/>
    <w:rsid w:val="000F2875"/>
    <w:rsid w:val="0011111A"/>
    <w:rsid w:val="00144D27"/>
    <w:rsid w:val="001557AB"/>
    <w:rsid w:val="0017662F"/>
    <w:rsid w:val="0018052D"/>
    <w:rsid w:val="00186B82"/>
    <w:rsid w:val="00197AE3"/>
    <w:rsid w:val="001A01F2"/>
    <w:rsid w:val="001A0605"/>
    <w:rsid w:val="001C07FA"/>
    <w:rsid w:val="001C2EAB"/>
    <w:rsid w:val="001D0583"/>
    <w:rsid w:val="001D7087"/>
    <w:rsid w:val="001E238F"/>
    <w:rsid w:val="001F7C99"/>
    <w:rsid w:val="00233E6B"/>
    <w:rsid w:val="00253525"/>
    <w:rsid w:val="002557D0"/>
    <w:rsid w:val="00285578"/>
    <w:rsid w:val="002A1CA2"/>
    <w:rsid w:val="002C00D8"/>
    <w:rsid w:val="002C0191"/>
    <w:rsid w:val="002C512C"/>
    <w:rsid w:val="002C743F"/>
    <w:rsid w:val="002D183B"/>
    <w:rsid w:val="002D5E7D"/>
    <w:rsid w:val="003021D1"/>
    <w:rsid w:val="0031086A"/>
    <w:rsid w:val="00323CF9"/>
    <w:rsid w:val="00326AF4"/>
    <w:rsid w:val="0036386B"/>
    <w:rsid w:val="00374C27"/>
    <w:rsid w:val="0038069E"/>
    <w:rsid w:val="00381F49"/>
    <w:rsid w:val="003903B6"/>
    <w:rsid w:val="003A68D4"/>
    <w:rsid w:val="003B0347"/>
    <w:rsid w:val="003B3AE3"/>
    <w:rsid w:val="003C42C9"/>
    <w:rsid w:val="003C5E96"/>
    <w:rsid w:val="003E6A22"/>
    <w:rsid w:val="003F10CF"/>
    <w:rsid w:val="00413BF1"/>
    <w:rsid w:val="004162A7"/>
    <w:rsid w:val="004255C3"/>
    <w:rsid w:val="004311F6"/>
    <w:rsid w:val="00437BE8"/>
    <w:rsid w:val="004456AF"/>
    <w:rsid w:val="00463F09"/>
    <w:rsid w:val="004776E6"/>
    <w:rsid w:val="00477856"/>
    <w:rsid w:val="004846B0"/>
    <w:rsid w:val="004968BD"/>
    <w:rsid w:val="004A082E"/>
    <w:rsid w:val="004A19B2"/>
    <w:rsid w:val="004B11FA"/>
    <w:rsid w:val="004B1B74"/>
    <w:rsid w:val="004C13E1"/>
    <w:rsid w:val="004E1E02"/>
    <w:rsid w:val="004E27C7"/>
    <w:rsid w:val="004E3C0D"/>
    <w:rsid w:val="004F2218"/>
    <w:rsid w:val="005022E1"/>
    <w:rsid w:val="00512BEF"/>
    <w:rsid w:val="00517C3F"/>
    <w:rsid w:val="0054601C"/>
    <w:rsid w:val="00570C45"/>
    <w:rsid w:val="005714AF"/>
    <w:rsid w:val="00591200"/>
    <w:rsid w:val="005B6622"/>
    <w:rsid w:val="005D7AB1"/>
    <w:rsid w:val="005E10DF"/>
    <w:rsid w:val="005E1493"/>
    <w:rsid w:val="005F28DB"/>
    <w:rsid w:val="005F6B0A"/>
    <w:rsid w:val="00625B28"/>
    <w:rsid w:val="00627BCE"/>
    <w:rsid w:val="006319A8"/>
    <w:rsid w:val="00632FF3"/>
    <w:rsid w:val="00683C92"/>
    <w:rsid w:val="00697141"/>
    <w:rsid w:val="006A2301"/>
    <w:rsid w:val="006C2A1E"/>
    <w:rsid w:val="006D2E6F"/>
    <w:rsid w:val="006E5792"/>
    <w:rsid w:val="006F47EA"/>
    <w:rsid w:val="00707EE6"/>
    <w:rsid w:val="007138C3"/>
    <w:rsid w:val="00737D53"/>
    <w:rsid w:val="00737DB7"/>
    <w:rsid w:val="00744581"/>
    <w:rsid w:val="0075429C"/>
    <w:rsid w:val="00755E81"/>
    <w:rsid w:val="007622AE"/>
    <w:rsid w:val="00770995"/>
    <w:rsid w:val="00776CCB"/>
    <w:rsid w:val="00780419"/>
    <w:rsid w:val="007B5D14"/>
    <w:rsid w:val="007E3F7F"/>
    <w:rsid w:val="00803B81"/>
    <w:rsid w:val="00814695"/>
    <w:rsid w:val="00820105"/>
    <w:rsid w:val="00824F0D"/>
    <w:rsid w:val="00852E86"/>
    <w:rsid w:val="008718AC"/>
    <w:rsid w:val="00874BA0"/>
    <w:rsid w:val="00875FCD"/>
    <w:rsid w:val="00880FEB"/>
    <w:rsid w:val="008B62A6"/>
    <w:rsid w:val="008D4E6E"/>
    <w:rsid w:val="008F768D"/>
    <w:rsid w:val="009057AA"/>
    <w:rsid w:val="00944418"/>
    <w:rsid w:val="009516B9"/>
    <w:rsid w:val="00962448"/>
    <w:rsid w:val="009657EC"/>
    <w:rsid w:val="009777E1"/>
    <w:rsid w:val="00993F46"/>
    <w:rsid w:val="00994569"/>
    <w:rsid w:val="009B38D3"/>
    <w:rsid w:val="009B3F2F"/>
    <w:rsid w:val="009C4817"/>
    <w:rsid w:val="009E223A"/>
    <w:rsid w:val="00A277AC"/>
    <w:rsid w:val="00A3545B"/>
    <w:rsid w:val="00A50C7A"/>
    <w:rsid w:val="00A52612"/>
    <w:rsid w:val="00A571F0"/>
    <w:rsid w:val="00A61BE9"/>
    <w:rsid w:val="00A6411D"/>
    <w:rsid w:val="00A823DB"/>
    <w:rsid w:val="00A83B45"/>
    <w:rsid w:val="00AA073D"/>
    <w:rsid w:val="00AA3819"/>
    <w:rsid w:val="00AA4871"/>
    <w:rsid w:val="00AA55B8"/>
    <w:rsid w:val="00AB0F70"/>
    <w:rsid w:val="00AD4733"/>
    <w:rsid w:val="00AD66CF"/>
    <w:rsid w:val="00B35B4B"/>
    <w:rsid w:val="00B62E66"/>
    <w:rsid w:val="00B6501E"/>
    <w:rsid w:val="00B745BA"/>
    <w:rsid w:val="00BB74EF"/>
    <w:rsid w:val="00BC3F6C"/>
    <w:rsid w:val="00BE2A52"/>
    <w:rsid w:val="00BE4476"/>
    <w:rsid w:val="00BF72F4"/>
    <w:rsid w:val="00C1335B"/>
    <w:rsid w:val="00C30E84"/>
    <w:rsid w:val="00C52D5C"/>
    <w:rsid w:val="00C62532"/>
    <w:rsid w:val="00C625B3"/>
    <w:rsid w:val="00C7417F"/>
    <w:rsid w:val="00C75D73"/>
    <w:rsid w:val="00C87024"/>
    <w:rsid w:val="00C877EA"/>
    <w:rsid w:val="00CA5E0B"/>
    <w:rsid w:val="00CD74B5"/>
    <w:rsid w:val="00CE4F69"/>
    <w:rsid w:val="00D20D0C"/>
    <w:rsid w:val="00D3704D"/>
    <w:rsid w:val="00D42B65"/>
    <w:rsid w:val="00D44E7C"/>
    <w:rsid w:val="00D51BB5"/>
    <w:rsid w:val="00D55154"/>
    <w:rsid w:val="00D62432"/>
    <w:rsid w:val="00D6667A"/>
    <w:rsid w:val="00D66848"/>
    <w:rsid w:val="00D8044D"/>
    <w:rsid w:val="00DC3CAF"/>
    <w:rsid w:val="00DD0C9C"/>
    <w:rsid w:val="00DD1D0E"/>
    <w:rsid w:val="00DF30AF"/>
    <w:rsid w:val="00DF60CE"/>
    <w:rsid w:val="00E03406"/>
    <w:rsid w:val="00E151FB"/>
    <w:rsid w:val="00E2159E"/>
    <w:rsid w:val="00E304BE"/>
    <w:rsid w:val="00E31A1A"/>
    <w:rsid w:val="00E33D27"/>
    <w:rsid w:val="00E35BA3"/>
    <w:rsid w:val="00E4116F"/>
    <w:rsid w:val="00E617AF"/>
    <w:rsid w:val="00E7007E"/>
    <w:rsid w:val="00E91BC5"/>
    <w:rsid w:val="00E975D6"/>
    <w:rsid w:val="00EA0289"/>
    <w:rsid w:val="00EA5F09"/>
    <w:rsid w:val="00EB5903"/>
    <w:rsid w:val="00EC7B42"/>
    <w:rsid w:val="00ED0FA9"/>
    <w:rsid w:val="00ED63AB"/>
    <w:rsid w:val="00ED6544"/>
    <w:rsid w:val="00EE2AC7"/>
    <w:rsid w:val="00EF2A19"/>
    <w:rsid w:val="00EF30B2"/>
    <w:rsid w:val="00F001E1"/>
    <w:rsid w:val="00F21455"/>
    <w:rsid w:val="00F21DDD"/>
    <w:rsid w:val="00F47948"/>
    <w:rsid w:val="00F55590"/>
    <w:rsid w:val="00F6386D"/>
    <w:rsid w:val="00F67BD2"/>
    <w:rsid w:val="00F67BE6"/>
    <w:rsid w:val="00FA2969"/>
    <w:rsid w:val="00FC24FE"/>
    <w:rsid w:val="00FC42AE"/>
    <w:rsid w:val="00FF539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A"/>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A"/>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r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metables.lj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B9D3-7CAD-4FEA-A496-601A2E0F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1</TotalTime>
  <Pages>9</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Bethan</dc:creator>
  <cp:lastModifiedBy>Mohanad</cp:lastModifiedBy>
  <cp:revision>2</cp:revision>
  <dcterms:created xsi:type="dcterms:W3CDTF">2014-01-31T07:10:00Z</dcterms:created>
  <dcterms:modified xsi:type="dcterms:W3CDTF">2014-01-31T07:10:00Z</dcterms:modified>
</cp:coreProperties>
</file>